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GGArt29Abs7G</w:t>
      </w:r>
    </w:p>
    <w:p>
      <w:r>
        <w:rPr>
          <w:color w:val="555555"/>
          <w:sz w:val="18"/>
        </w:rPr>
        <w:t xml:space="preserve">Gesetz über das Verfahren bei sonstigen Änderungen des Gebietsbestandes der Länder nach Artikel 29 Abs. 7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Grenzen zwischen Ländern können nach Maßgabe dieses Gesetzes geändert werden, wenn das Gebiet, dessen Landeszugehörigkeit geändert werden soll, von nicht mehr als 10.000 Einwohnern bewohnt ist.</w:t>
      </w:r>
    </w:p>
    <w:p>
      <w:r>
        <w:t xml:space="preserve">(2) Gebiete können zwischen Ländern nach Maßgabe dieses Gesetzes ausgetauscht werden, wenn keines der ausgetauschten Gebiete von mehr als 10.000 Einwohnern bewohnt ist.</w:t>
      </w:r>
    </w:p>
    <w:p>
      <w:r>
        <w:rPr>
          <w:color w:val="555555"/>
          <w:sz w:val="17"/>
        </w:rPr>
        <w:t xml:space="preserve">Zitiervorschlag: § 1 GGArt29Abs7G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https://recht.nulegal.eu/gesetze/GGArt29Abs7G/1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