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GGArt29Abs6G — Anwendung von Vorschriften des Bundeswahlgesetzes</w:t>
      </w:r>
    </w:p>
    <w:p>
      <w:r>
        <w:rPr>
          <w:color w:val="555555"/>
          <w:sz w:val="18"/>
        </w:rPr>
        <w:t xml:space="preserve">Gesetz über das Verfahren bei Volksentscheid, Volksbegehren und Volksbefragung nach Artikel 29 Abs. 6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Bundeswahlgesetzes über</w:t>
      </w:r>
    </w:p>
    <w:p>
      <w:pPr>
        <w:ind w:left="420"/>
      </w:pPr>
      <w:r>
        <w:t xml:space="preserve">1. die Einteilung der Wahlkreise in Wahlbezirke,</w:t>
      </w:r>
    </w:p>
    <w:p>
      <w:pPr>
        <w:ind w:left="420"/>
      </w:pPr>
      <w:r>
        <w:t xml:space="preserve">2. die Öffentlichkeit der Wahlhandlung und unzulässige Wahlpropaganda,</w:t>
      </w:r>
    </w:p>
    <w:p>
      <w:pPr>
        <w:ind w:left="420"/>
      </w:pPr>
      <w:r>
        <w:t xml:space="preserve">3. die Bildung und Tätigkeit der Wahlorgane,</w:t>
      </w:r>
    </w:p>
    <w:p>
      <w:pPr>
        <w:ind w:left="420"/>
      </w:pPr>
      <w:r>
        <w:t xml:space="preserve">4. die Wahlehrenämter,</w:t>
      </w:r>
    </w:p>
    <w:p>
      <w:pPr>
        <w:ind w:left="420"/>
      </w:pPr>
      <w:r>
        <w:t xml:space="preserve">5. die Aufstellung, Führung und Auslegung der Wählerverzeichnisse und Erteilung von Wahlscheinen,</w:t>
      </w:r>
    </w:p>
    <w:p>
      <w:pPr>
        <w:ind w:left="420"/>
      </w:pPr>
      <w:r>
        <w:t xml:space="preserve">6. die Stimmzettel,</w:t>
      </w:r>
    </w:p>
    <w:p>
      <w:pPr>
        <w:ind w:left="420"/>
      </w:pPr>
      <w:r>
        <w:t xml:space="preserve">7. die Wahrung des Wahlgeheimnisses,</w:t>
      </w:r>
    </w:p>
    <w:p>
      <w:pPr>
        <w:ind w:left="420"/>
      </w:pPr>
      <w:r>
        <w:t xml:space="preserve">8. die Briefwahl,</w:t>
      </w:r>
    </w:p>
    <w:p>
      <w:pPr>
        <w:ind w:left="420"/>
      </w:pPr>
      <w:r>
        <w:t xml:space="preserve">9. die Anfechtung von Entscheidungen und Maßnahmen im Wahlverfahren</w:t>
      </w:r>
    </w:p>
    <w:p>
      <w:r>
        <w:t xml:space="preserve">sind entsprechend anzuwenden.</w:t>
      </w:r>
    </w:p>
    <w:p>
      <w:r>
        <w:rPr>
          <w:color w:val="555555"/>
          <w:sz w:val="17"/>
        </w:rPr>
        <w:t xml:space="preserve">Zitiervorschlag: § 7 GGArt29Abs6G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https://recht.nulegal.eu/gesetze/GGArt29Abs6G/7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