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GGArt29Abs6G — Abstimmungsorgane</w:t>
      </w:r>
    </w:p>
    <w:p>
      <w:r>
        <w:rPr>
          <w:color w:val="555555"/>
          <w:sz w:val="18"/>
        </w:rPr>
        <w:t xml:space="preserve">Gesetz über das Verfahren bei Volksentscheid, Volksbegehren und Volksbefragung nach Artikel 29 Abs. 6 des Grundgesetzes</w:t>
      </w:r>
    </w:p>
    <w:p>
      <w:r>
        <w:rPr>
          <w:color w:val="555555"/>
          <w:sz w:val="18"/>
        </w:rPr>
        <w:t xml:space="preserve">Stand: 01.07.2020 (konsolidierte Textfassung, kein amtliches Inkrafttretensdatum)</w:t>
      </w:r>
    </w:p>
    <w:p>
      <w:r>
        <w:t xml:space="preserve">(1) Abstimmungsorgane sind</w:t>
      </w:r>
    </w:p>
    <w:p>
      <w:pPr>
        <w:ind w:left="420"/>
      </w:pPr>
      <w:r>
        <w:t xml:space="preserve">1. ein Gesamtabstimmungsleiter und ein Gesamtabstimmungsausschuß für das Abstimmungsgebiet,</w:t>
      </w:r>
    </w:p>
    <w:p>
      <w:pPr>
        <w:ind w:left="420"/>
      </w:pPr>
      <w:r>
        <w:t xml:space="preserve">2. ein Landesabstimmungsleiter und ein Landesabstimmungsausschuß für die Abstimmungsbereiche jedes betroffenen Landes,</w:t>
      </w:r>
    </w:p>
    <w:p>
      <w:pPr>
        <w:ind w:left="420"/>
      </w:pPr>
      <w:r>
        <w:t xml:space="preserve">3. ein Kreisabstimmungsleiter und ein Kreisabstimmungsausschuß für jeden Kreis und jede kreisfreie Stadt,</w:t>
      </w:r>
    </w:p>
    <w:p>
      <w:pPr>
        <w:ind w:left="420"/>
      </w:pPr>
      <w:r>
        <w:t xml:space="preserve">4. ein Abstimmungsvorsteher und ein Abstimmungsvorstand für jeden Stimmbezirk,</w:t>
      </w:r>
    </w:p>
    <w:p>
      <w:pPr>
        <w:ind w:left="420"/>
      </w:pPr>
      <w:r>
        <w:t xml:space="preserve">5. ein Abstimmungsvorsteher und ein Abstimmungsvorstand für jeden Kreis und jede kreisfreie Stadt zur Feststellung des Briefabstimmungsergebnisses sowie für jeden Abstimmungsbereich, wenn das Kreisgebiet zu mehr als einem Abstimmungsbereich gehört.</w:t>
      </w:r>
    </w:p>
    <w:p>
      <w:r>
        <w:t xml:space="preserve">Der Gesamtabstimmungsleiter und sein Stellvertreter werden vom Bundesminister des Innern, für Bau und Heimat im Benehmen mit den Regierungen der betroffenen Länder ernannt. In den Gesamtabstimmungsausschuß sind neben dem Gesamtabstimmungsleiter zehn Stimmberechtigte aus den betroffenen Ländern im Verhältnis ihrer Einwohnerzahlen zu berufen, die von den Regierungen der betroffenen Länder bestimmt werden.</w:t>
      </w:r>
    </w:p>
    <w:p>
      <w:r>
        <w:t xml:space="preserve">(2) Bei der Berufung der Beisitzer der Abstimmungsausschüsse und der Abstimmungsvorstände sind die im jeweiligen Bezirk vertretenen Parteien und solche Vereinigungen, die ein berechtigtes Interesse nachweisen, nach Möglichkeit zu berücksichtigen.</w:t>
      </w:r>
    </w:p>
    <w:p>
      <w:r>
        <w:rPr>
          <w:color w:val="555555"/>
          <w:sz w:val="17"/>
        </w:rPr>
        <w:t xml:space="preserve">Zitiervorschlag: § 6 GGArt29Abs6G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https://recht.nulegal.eu/gesetze/GGArt29Abs6G/6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