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GGArt29Abs6G — Ermächtigung zum Erlaß von Rechtsverordnungen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Der Bundesminister des Innern, für Bau und Heimat wird ermächtigt, durch Rechtsverordnung für die Durchführung von Volksentscheiden, Volksbegehren und Volksbefragungen Ausführungsvorschriften zu erlassen über</w:t>
      </w:r>
    </w:p>
    <w:p>
      <w:pPr>
        <w:ind w:left="420"/>
      </w:pPr>
      <w:r>
        <w:t xml:space="preserve">1. das Stimm- und Eintragungsrecht und seine Ausübung,</w:t>
      </w:r>
    </w:p>
    <w:p>
      <w:pPr>
        <w:ind w:left="420"/>
      </w:pPr>
      <w:r>
        <w:t xml:space="preserve">2. die Erteilung von Stimmscheinen und Eintragungsscheinen,</w:t>
      </w:r>
    </w:p>
    <w:p>
      <w:pPr>
        <w:ind w:left="420"/>
      </w:pPr>
      <w:r>
        <w:t xml:space="preserve">3. die Bildung, die Tätigkeit und das Verfahren der Abstimmungs- und Eintragungsorgane,</w:t>
      </w:r>
    </w:p>
    <w:p>
      <w:pPr>
        <w:ind w:left="420"/>
      </w:pPr>
      <w:r>
        <w:t xml:space="preserve">4. die Bildung der Abstimmungs- und Eintragungsbezirke und ihre Bekanntmachung,</w:t>
      </w:r>
    </w:p>
    <w:p>
      <w:pPr>
        <w:ind w:left="420"/>
      </w:pPr>
      <w:r>
        <w:t xml:space="preserve">5. die Bereitstellung, Einrichtung und Bekanntmachung der Abstimmungs- und Eintragungsräume,</w:t>
      </w:r>
    </w:p>
    <w:p>
      <w:pPr>
        <w:ind w:left="420"/>
      </w:pPr>
      <w:r>
        <w:t xml:space="preserve">6. die Abstimmungs- und Eintragungshandlung,</w:t>
      </w:r>
    </w:p>
    <w:p>
      <w:pPr>
        <w:ind w:left="420"/>
      </w:pPr>
      <w:r>
        <w:t xml:space="preserve">7. die Stimmabgabe und Eintragung in Anstaltsbezirken, kleineren Kranken- und Pflegeanstalten, Klöstern, gesperrten Wohnstätten sowie sozialtherapeutischen Anstalten und Justizvollzugsanstalten,</w:t>
      </w:r>
    </w:p>
    <w:p>
      <w:pPr>
        <w:ind w:left="420"/>
      </w:pPr>
      <w:r>
        <w:t xml:space="preserve">8. die Briefabstimmung,</w:t>
      </w:r>
    </w:p>
    <w:p>
      <w:pPr>
        <w:ind w:left="420"/>
      </w:pPr>
      <w:r>
        <w:t xml:space="preserve">9. die Feststellung der Abstimmungs-, Eintragungs- und Befragungsergebnisse,</w:t>
      </w:r>
    </w:p>
    <w:p>
      <w:pPr>
        <w:ind w:left="420"/>
      </w:pPr>
      <w:r>
        <w:t xml:space="preserve">10. das Zulassungsverfahren bei Anträgen auf Volksbegehren,</w:t>
      </w:r>
    </w:p>
    <w:p>
      <w:pPr>
        <w:ind w:left="420"/>
      </w:pPr>
      <w:r>
        <w:t xml:space="preserve">11. das Eintragungsverfahren,</w:t>
      </w:r>
    </w:p>
    <w:p>
      <w:pPr>
        <w:ind w:left="420"/>
      </w:pPr>
      <w:r>
        <w:t xml:space="preserve">12. die Aufbewahrung und Vernichtung von Stimm-, Eintragungs- und Befragungsunterlagen.</w:t>
      </w:r>
    </w:p>
    <w:p>
      <w:r>
        <w:rPr>
          <w:color w:val="555555"/>
          <w:sz w:val="17"/>
        </w:rPr>
        <w:t xml:space="preserve">Zitiervorschlag: § 40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