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35 GGArt29Abs6G — Ungültige Eintragungen</w:t>
      </w:r>
    </w:p>
    <w:p>
      <w:r>
        <w:rPr>
          <w:color w:val="555555"/>
          <w:sz w:val="18"/>
        </w:rPr>
        <w:t xml:space="preserve">Gesetz über das Verfahren bei Volksentscheid, Volksbegehren und Volksbefragung nach Artikel 29 Abs. 6 des Grundgesetzes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Ungültig sind Eintragungen, die</w:t>
      </w:r>
    </w:p>
    <w:p>
      <w:pPr>
        <w:ind w:left="420"/>
      </w:pPr>
      <w:r>
        <w:t xml:space="preserve">1. nicht die in § 34 geforderten Angaben enthalten,</w:t>
      </w:r>
    </w:p>
    <w:p>
      <w:pPr>
        <w:ind w:left="420"/>
      </w:pPr>
      <w:r>
        <w:t xml:space="preserve">2. die Person des Eingetragenen nicht zweifelsfrei erkennen lassen,</w:t>
      </w:r>
    </w:p>
    <w:p>
      <w:pPr>
        <w:ind w:left="420"/>
      </w:pPr>
      <w:r>
        <w:t xml:space="preserve">3. von nicht eintragungsberechtigten Personen herrühren,</w:t>
      </w:r>
    </w:p>
    <w:p>
      <w:pPr>
        <w:ind w:left="420"/>
      </w:pPr>
      <w:r>
        <w:t xml:space="preserve">4. nicht innerhalb der Eintragungsfrist vollzogen worden sind,</w:t>
      </w:r>
    </w:p>
    <w:p>
      <w:pPr>
        <w:ind w:left="420"/>
      </w:pPr>
      <w:r>
        <w:t xml:space="preserve">5. einen Zusatz oder einen Vorbehalt enthalten,</w:t>
      </w:r>
    </w:p>
    <w:p>
      <w:pPr>
        <w:ind w:left="420"/>
      </w:pPr>
      <w:r>
        <w:t xml:space="preserve">6. mehrfach sind.</w:t>
      </w:r>
    </w:p>
    <w:p>
      <w:r>
        <w:rPr>
          <w:color w:val="555555"/>
          <w:sz w:val="17"/>
        </w:rPr>
        <w:t xml:space="preserve">Zitiervorschlag: § 35 GGArt29Abs6G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https://recht.nulegal.eu/gesetze/GGArt29Abs6G/35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