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GGArt29Abs6G — Tätigkeit der Eintragungsausschüsse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Eintragungsausschüsse verhandeln und entscheiden in öffentlicher Sitzung.</w:t>
      </w:r>
    </w:p>
    <w:p>
      <w:r>
        <w:t xml:space="preserve">(2) Die Eintragungsausschüsse entscheiden mit Stimmenmehrheit. Bei Stimmengleichheit gibt die Stimme des Vorsitzenden den Ausschlag.</w:t>
      </w:r>
    </w:p>
    <w:p>
      <w:r>
        <w:t xml:space="preserve">(3) Über die Sitzung der Eintragungsausschüsse wird eine Niederschrift angefertigt.</w:t>
      </w:r>
    </w:p>
    <w:p>
      <w:r>
        <w:rPr>
          <w:color w:val="555555"/>
          <w:sz w:val="17"/>
        </w:rPr>
        <w:t xml:space="preserve">Zitiervorschlag: § 32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