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GGArt29Abs6G — Eintragungsschein</w:t>
      </w:r>
    </w:p>
    <w:p>
      <w:r>
        <w:rPr>
          <w:color w:val="555555"/>
          <w:sz w:val="18"/>
        </w:rPr>
        <w:t xml:space="preserve">Gesetz über das Verfahren bei Volksentscheid, Volksbegehren und Volksbefragung nach Artikel 29 Abs. 6 des Grundgesetzes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Eintragungsberechtigter, der in das Eintragungsberechtigtenverzeichnis eingetragen ist, erhält auf Antrag einen Eintragungsschein, wenn er</w:t>
      </w:r>
    </w:p>
    <w:p>
      <w:pPr>
        <w:ind w:left="420"/>
      </w:pPr>
      <w:r>
        <w:t xml:space="preserve">1. sich während der ganzen Eintragungsfrist aus wichtigem Grund außerhalb der Gemeinde aufhält, in deren Eintragungsberechtigtenverzeichnis er eingetragen ist, oder</w:t>
      </w:r>
    </w:p>
    <w:p>
      <w:pPr>
        <w:ind w:left="420"/>
      </w:pPr>
      <w:r>
        <w:t xml:space="preserve">2. infolge eines körperlichen Leidens oder Gebrechens in seiner Bewegungsfreiheit behindert ist und durch den Eintragungsschein in die Lage versetzt wird, sich in einer für ihn günstiger gelegenen Eintragungsstelle einzutragen.</w:t>
      </w:r>
    </w:p>
    <w:p>
      <w:r>
        <w:t xml:space="preserve">(2) Ein Eintragungsberechtigter, der aus einem von ihm nicht zu vertretenden Grund in das Eintragungsberechtigtenverzeichnis nicht aufgenommen worden ist, erhält auf Antrag einen Eintragungsschein.</w:t>
      </w:r>
    </w:p>
    <w:p>
      <w:r>
        <w:rPr>
          <w:color w:val="555555"/>
          <w:sz w:val="17"/>
        </w:rPr>
        <w:t xml:space="preserve">Zitiervorschlag: § 29 GGArt29Abs6G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https://recht.nulegal.eu/gesetze/GGArt29Abs6G/29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