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GGArt29Abs6G — Ausübung des Eintragungsrechts</w:t>
      </w:r>
    </w:p>
    <w:p>
      <w:r>
        <w:rPr>
          <w:color w:val="555555"/>
          <w:sz w:val="18"/>
        </w:rPr>
        <w:t xml:space="preserve">Gesetz über das Verfahren bei Volksentscheid, Volksbegehren und Volksbefragung nach Artikel 29 Abs. 6 des Grundgesetzes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Eintragung ist nur zuzulassen, wer</w:t>
      </w:r>
    </w:p>
    <w:p>
      <w:pPr>
        <w:ind w:left="420"/>
      </w:pPr>
      <w:r>
        <w:t xml:space="preserve">1. in ein Eintragungsberechtigtenverzeichnis eingetragen ist oder</w:t>
      </w:r>
    </w:p>
    <w:p>
      <w:pPr>
        <w:ind w:left="420"/>
      </w:pPr>
      <w:r>
        <w:t xml:space="preserve">2. einen Eintragungsschein hat.</w:t>
      </w:r>
    </w:p>
    <w:p>
      <w:r>
        <w:t xml:space="preserve">(2) Der Eintragungsberechtigte kann sich nur einmal eintragen. Er kann sich nur in der Gemeinde eintragen, in deren Eintragungsberechtigtenverzeichnis er eingetragen ist (Absatz 1 Nr. 1). Wer einen Eintragungsschein hat, kann sich in einer beliebigen Eintragungsstelle des Raumes des zugelassenen Volksbegehrens eintragen.</w:t>
      </w:r>
    </w:p>
    <w:p>
      <w:r>
        <w:t xml:space="preserve">(3) § 7 Nr. 5 gilt entsprechend.</w:t>
      </w:r>
    </w:p>
    <w:p>
      <w:r>
        <w:rPr>
          <w:color w:val="555555"/>
          <w:sz w:val="17"/>
        </w:rPr>
        <w:t xml:space="preserve">Zitiervorschlag: § 28 GGArt29Abs6G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https://recht.nulegal.eu/gesetze/GGArt29Abs6G/28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