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 GGArt29Abs6G — Inhalt des Zulassungsantrags</w:t>
      </w:r>
    </w:p>
    <w:p>
      <w:r>
        <w:rPr>
          <w:color w:val="555555"/>
          <w:sz w:val="18"/>
        </w:rPr>
        <w:t xml:space="preserve">Gesetz über das Verfahren bei Volksentscheid, Volksbegehren und Volksbefragung nach Artikel 29 Abs. 6 des Grundgesetzes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Im Antrag ist anzugeben</w:t>
      </w:r>
    </w:p>
    <w:p>
      <w:pPr>
        <w:ind w:left="420"/>
      </w:pPr>
      <w:r>
        <w:t xml:space="preserve">1. der Raum, für den eine einheitliche Landeszugehörigkeit herbeigeführt werden soll, und</w:t>
      </w:r>
    </w:p>
    <w:p>
      <w:pPr>
        <w:ind w:left="420"/>
      </w:pPr>
      <w:r>
        <w:t xml:space="preserve">2. die für den Raum begehrte Landeszugehörigkeit.</w:t>
      </w:r>
    </w:p>
    <w:p>
      <w:r>
        <w:t xml:space="preserve">Weitere Zusätze in Überschrift und Wortlaut des Zulassungsantrages sind nicht statthaft; sie sind bei der Veröffentlichung des Antrags nach § 25 wegzulassen.</w:t>
      </w:r>
    </w:p>
    <w:p>
      <w:r>
        <w:rPr>
          <w:color w:val="555555"/>
          <w:sz w:val="17"/>
        </w:rPr>
        <w:t xml:space="preserve">Zitiervorschlag: § 20 GGArt29Abs6G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https://recht.nulegal.eu/gesetze/GGArt29Abs6G/20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