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GGArt29Abs6G — Gegenstand des Volksbegehrens</w:t>
      </w:r>
    </w:p>
    <w:p>
      <w:r>
        <w:rPr>
          <w:color w:val="555555"/>
          <w:sz w:val="18"/>
        </w:rPr>
        <w:t xml:space="preserve">Gesetz über das Verfahren bei Volksentscheid, Volksbegehren und Volksbefragung nach Artikel 29 Abs. 6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einem zusammenhängenden, abgegrenzten Siedlungs- und Wirtschaftsraum, dessen Teile in mehreren Ländern liegen und der mindestens eine Million Einwohner hat (Neugliederungsraum), wird auf Antrag ein Volksbegehren nach Artikel 29 Abs. 4 des Grundgesetzes durchgeführt. Das Volksbegehren muß darauf gerichtet sein, für den Neugliederungsraum eine einheitliche Landeszugehörigkeit herbeizuführen.</w:t>
      </w:r>
    </w:p>
    <w:p>
      <w:r>
        <w:rPr>
          <w:color w:val="555555"/>
          <w:sz w:val="17"/>
        </w:rPr>
        <w:t xml:space="preserve">Zitiervorschlag: § 18 GGArt29Abs6G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https://recht.nulegal.eu/gesetze/GGArt29Abs6G/18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GGArt29Abs6G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