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GGArt29Abs6G — Nachabstimmung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Nachabstimmung findet statt, wenn die Abstimmung in einem Stimmbezirk nicht durchgeführt worden ist.</w:t>
      </w:r>
    </w:p>
    <w:p>
      <w:r>
        <w:t xml:space="preserve">(2) Die Nachabstimmung soll spätestens drei Wochen nach dem Tag der ausgefallenen Abstimmung stattfinden. Den Tag der Nachabstimmung bestimmt der Gesamtabstimmungsleiter.</w:t>
      </w:r>
    </w:p>
    <w:p>
      <w:r>
        <w:t xml:space="preserve">(3) Die Nachabstimmung findet auf denselben Grundlagen und nach denselben Vorschriften wie die ausgefallene Abstimmung statt.</w:t>
      </w:r>
    </w:p>
    <w:p>
      <w:r>
        <w:rPr>
          <w:color w:val="555555"/>
          <w:sz w:val="17"/>
        </w:rPr>
        <w:t xml:space="preserve">Zitiervorschlag: § 15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GGArt29Abs6G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