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GGArt29Abs6G — Abstimmungsergebnis</w:t>
      </w:r>
    </w:p>
    <w:p>
      <w:r>
        <w:rPr>
          <w:color w:val="555555"/>
          <w:sz w:val="18"/>
        </w:rPr>
        <w:t xml:space="preserve">Gesetz über das Verfahren bei Volksentscheid, Volksbegehren und Volksbefragung nach Artikel 29 Abs. 6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Beendigung der Abstimmungshandlung stellt der Abstimmungsvorstand das Abstimmungsergebnis im Stimmbezirk fest.</w:t>
      </w:r>
    </w:p>
    <w:p>
      <w:r>
        <w:t xml:space="preserve">(2) Der für die Briefabstimmung eingesetzte Abstimmungsvorstand stellt das Ergebnis der Briefabstimmung im Kreis oder in der kreisfreien Stadt oder dem Abstimmungsbereich fest.</w:t>
      </w:r>
    </w:p>
    <w:p>
      <w:r>
        <w:rPr>
          <w:color w:val="555555"/>
          <w:sz w:val="17"/>
        </w:rPr>
        <w:t xml:space="preserve">Zitiervorschlag: § 11 GGArt29Abs6G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https://recht.nulegal.eu/gesetze/GGArt29Abs6G/11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GGArt29Abs6G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