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GGArt115dGO</w:t>
      </w:r>
    </w:p>
    <w:p>
      <w:r>
        <w:rPr>
          <w:color w:val="555555"/>
          <w:sz w:val="18"/>
        </w:rPr>
        <w:t xml:space="preserve">Geschäftsordnung für das Verfahren nach Artikel 115 d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Ausführung des Artikels 115d des Grundgesetzes hat der Bundestag mit Zustimmung des Bundesrates für die Beratung dringlicher Gesetzesvorlagen im Verteidigungsfalle die folgende Geschäftsordnung beschlossen:</w:t>
      </w:r>
    </w:p>
    <w:p>
      <w:r>
        <w:rPr>
          <w:color w:val="555555"/>
          <w:sz w:val="17"/>
        </w:rPr>
        <w:t xml:space="preserve">Zitiervorschlag: Eingangsformel GGArt115dGO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https://recht.nulegal.eu/gesetze/GGArt115dGO/eingangsformel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GGArt115dGO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