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GGAV 2002 — (zu § 1 Absatz 2)</w:t>
      </w:r>
    </w:p>
    <w:p>
      <w:r>
        <w:rPr>
          <w:color w:val="555555"/>
          <w:sz w:val="18"/>
        </w:rPr>
        <w:t xml:space="preserve">Gefahrgut-Ausnahmeverordnung</w:t>
      </w:r>
    </w:p>
    <w:p>
      <w:r>
        <w:rPr>
          <w:color w:val="555555"/>
          <w:sz w:val="18"/>
        </w:rPr>
        <w:t xml:space="preserve">Stand: 26.06.2025 (konsolidierte Textfassung, kein amtliches Inkrafttretensdatum)</w:t>
      </w:r>
    </w:p>
    <w:p>
      <w:r>
        <w:t xml:space="preserve">(Fundstelle: BGBl I 2019, 231 – 257; bzgl. der einzelnen Änderungen vgl. Fußnote)</w:t>
      </w:r>
    </w:p>
    <w:p>
      <w:r>
        <w:t xml:space="preserve">Erklärung der verwendeten Abkürzungen</w:t>
      </w:r>
    </w:p>
    <w:p>
      <w:r>
        <w:t xml:space="preserve">In dieser Anlage bedeuten:</w:t>
      </w:r>
    </w:p>
    <w:p>
      <w:r>
        <w:rPr>
          <w:rFonts w:ascii="Courier New" w:hAnsi="Courier New"/>
          <w:sz w:val="17"/>
        </w:rPr>
        <w:t xml:space="preserve">ADN    Europäisches Übereinkommen über die internationale Beförderung von gefährlichen Gütern auf Binnenwasserstraßen</w:t>
      </w:r>
    </w:p>
    <w:p>
      <w:r>
        <w:rPr>
          <w:rFonts w:ascii="Courier New" w:hAnsi="Courier New"/>
          <w:sz w:val="17"/>
        </w:rPr>
        <w:t xml:space="preserve">ADR    Übereinkommen über die internationale Beförderung gefährlicher Güter auf der Straße</w:t>
      </w:r>
    </w:p>
    <w:p>
      <w:r>
        <w:rPr>
          <w:rFonts w:ascii="Courier New" w:hAnsi="Courier New"/>
          <w:sz w:val="17"/>
        </w:rPr>
        <w:t xml:space="preserve">AGBwGGVSE    Allgemeine Ausnahmegenehmigungen der Bundeswehr zur Gefahrgutverordnung Straße und Eisenbahn</w:t>
      </w:r>
    </w:p>
    <w:p>
      <w:r>
        <w:rPr>
          <w:rFonts w:ascii="Courier New" w:hAnsi="Courier New"/>
          <w:sz w:val="17"/>
        </w:rPr>
        <w:t xml:space="preserve">Bem.    Bemerkung</w:t>
      </w:r>
    </w:p>
    <w:p>
      <w:r>
        <w:rPr>
          <w:rFonts w:ascii="Courier New" w:hAnsi="Courier New"/>
          <w:sz w:val="17"/>
        </w:rPr>
        <w:t xml:space="preserve">BGBl.    Bundesgesetzblatt</w:t>
      </w:r>
    </w:p>
    <w:p>
      <w:r>
        <w:rPr>
          <w:rFonts w:ascii="Courier New" w:hAnsi="Courier New"/>
          <w:sz w:val="17"/>
        </w:rPr>
        <w:t xml:space="preserve">CSC    Internationales Übereinkommen über sichere Container</w:t>
      </w:r>
    </w:p>
    <w:p>
      <w:r>
        <w:rPr>
          <w:rFonts w:ascii="Courier New" w:hAnsi="Courier New"/>
          <w:sz w:val="17"/>
        </w:rPr>
        <w:t xml:space="preserve">CTU    Güterbeförderungseinheit (Cargo transport unit)</w:t>
      </w:r>
    </w:p>
    <w:p>
      <w:r>
        <w:rPr>
          <w:rFonts w:ascii="Courier New" w:hAnsi="Courier New"/>
          <w:sz w:val="17"/>
        </w:rPr>
        <w:t xml:space="preserve">EmS    Unfallbekämpfungsmaßnahmen für Schiffe, die gefährliche Güter befördern</w:t>
      </w:r>
    </w:p>
    <w:p>
      <w:r>
        <w:rPr>
          <w:rFonts w:ascii="Courier New" w:hAnsi="Courier New"/>
          <w:sz w:val="17"/>
        </w:rPr>
        <w:t xml:space="preserve">Flp.    Flammpunkt</w:t>
      </w:r>
    </w:p>
    <w:p>
      <w:r>
        <w:rPr>
          <w:rFonts w:ascii="Courier New" w:hAnsi="Courier New"/>
          <w:sz w:val="17"/>
        </w:rPr>
        <w:t xml:space="preserve">GGVSEB    Gefahrgutverordnung Straße, Eisenbahn und Binnenschifffahrt</w:t>
      </w:r>
    </w:p>
    <w:p>
      <w:r>
        <w:rPr>
          <w:rFonts w:ascii="Courier New" w:hAnsi="Courier New"/>
          <w:sz w:val="17"/>
        </w:rPr>
        <w:t xml:space="preserve">GGVSee    Gefahrgutverordnung See</w:t>
      </w:r>
    </w:p>
    <w:p>
      <w:r>
        <w:rPr>
          <w:rFonts w:ascii="Courier New" w:hAnsi="Courier New"/>
          <w:sz w:val="17"/>
        </w:rPr>
        <w:t xml:space="preserve">IMDG-Code    International Maritime Dangerous Goods Code</w:t>
      </w:r>
    </w:p>
    <w:p>
      <w:r>
        <w:rPr>
          <w:rFonts w:ascii="Courier New" w:hAnsi="Courier New"/>
          <w:sz w:val="17"/>
        </w:rPr>
        <w:t xml:space="preserve">MEGC    Gascontainer mit mehreren Elementen</w:t>
      </w:r>
    </w:p>
    <w:p>
      <w:r>
        <w:rPr>
          <w:rFonts w:ascii="Courier New" w:hAnsi="Courier New"/>
          <w:sz w:val="17"/>
        </w:rPr>
        <w:t xml:space="preserve">MEMU    Mobile Einheit zur Herstellung von explosiven Stoffen oder Gegenständen mit Explosivstoff</w:t>
      </w:r>
    </w:p>
    <w:p>
      <w:r>
        <w:rPr>
          <w:rFonts w:ascii="Courier New" w:hAnsi="Courier New"/>
          <w:sz w:val="17"/>
        </w:rPr>
        <w:t xml:space="preserve">n.a.g.    nicht anderweitig genannt</w:t>
      </w:r>
    </w:p>
    <w:p>
      <w:r>
        <w:rPr>
          <w:rFonts w:ascii="Courier New" w:hAnsi="Courier New"/>
          <w:sz w:val="17"/>
        </w:rPr>
        <w:t xml:space="preserve">PBDD    (weggefallen)</w:t>
      </w:r>
    </w:p>
    <w:p>
      <w:r>
        <w:rPr>
          <w:rFonts w:ascii="Courier New" w:hAnsi="Courier New"/>
          <w:sz w:val="17"/>
        </w:rPr>
        <w:t xml:space="preserve">PBDF    (weggefallen)</w:t>
      </w:r>
    </w:p>
    <w:p>
      <w:r>
        <w:rPr>
          <w:rFonts w:ascii="Courier New" w:hAnsi="Courier New"/>
          <w:sz w:val="17"/>
        </w:rPr>
        <w:t xml:space="preserve">PCB    (weggefallen)</w:t>
      </w:r>
    </w:p>
    <w:p>
      <w:r>
        <w:rPr>
          <w:rFonts w:ascii="Courier New" w:hAnsi="Courier New"/>
          <w:sz w:val="17"/>
        </w:rPr>
        <w:t xml:space="preserve">PCDD    (weggefallen)</w:t>
      </w:r>
    </w:p>
    <w:p>
      <w:r>
        <w:rPr>
          <w:rFonts w:ascii="Courier New" w:hAnsi="Courier New"/>
          <w:sz w:val="17"/>
        </w:rPr>
        <w:t xml:space="preserve">PCDF    (weggefallen)</w:t>
      </w:r>
    </w:p>
    <w:p>
      <w:r>
        <w:rPr>
          <w:rFonts w:ascii="Courier New" w:hAnsi="Courier New"/>
          <w:sz w:val="17"/>
        </w:rPr>
        <w:t xml:space="preserve">PCT    (weggefallen)</w:t>
      </w:r>
    </w:p>
    <w:p>
      <w:r>
        <w:rPr>
          <w:rFonts w:ascii="Courier New" w:hAnsi="Courier New"/>
          <w:sz w:val="17"/>
        </w:rPr>
        <w:t xml:space="preserve">Richtlinie 2008/68/EG    Richtlinie 2008/68/EG des Europäischen Parlaments und des Rates über die Beförderung gefährlicher Güter im Binnenland (ABl. L 260 vom 30.9.2008, S. 13), die zuletzt durch die Richtlinie 2018/1846/EU (ABl. L 299 vom 26.11.2018, S. 58) geändert worden ist</w:t>
      </w:r>
    </w:p>
    <w:p>
      <w:r>
        <w:rPr>
          <w:rFonts w:ascii="Courier New" w:hAnsi="Courier New"/>
          <w:sz w:val="17"/>
        </w:rPr>
        <w:t xml:space="preserve">RID    Ordnung für die internationale Eisenbahnbeförderung gefährlicher Güter</w:t>
      </w:r>
    </w:p>
    <w:p>
      <w:r>
        <w:rPr>
          <w:rFonts w:ascii="Courier New" w:hAnsi="Courier New"/>
          <w:sz w:val="17"/>
        </w:rPr>
        <w:t xml:space="preserve">S.    Seite</w:t>
      </w:r>
    </w:p>
    <w:p>
      <w:r>
        <w:rPr>
          <w:rFonts w:ascii="Courier New" w:hAnsi="Courier New"/>
          <w:sz w:val="17"/>
        </w:rPr>
        <w:t xml:space="preserve">StVZO    Straßenverkehrs-Zulassungs-Ordnung</w:t>
      </w:r>
    </w:p>
    <w:p>
      <w:r>
        <w:rPr>
          <w:rFonts w:ascii="Courier New" w:hAnsi="Courier New"/>
          <w:sz w:val="17"/>
        </w:rPr>
        <w:t xml:space="preserve">TCDD    (weggefallen)</w:t>
      </w:r>
    </w:p>
    <w:p>
      <w:r>
        <w:rPr>
          <w:rFonts w:ascii="Courier New" w:hAnsi="Courier New"/>
          <w:sz w:val="17"/>
        </w:rPr>
        <w:t xml:space="preserve">TE    (weggefallen)</w:t>
      </w:r>
    </w:p>
    <w:p>
      <w:r>
        <w:rPr>
          <w:rFonts w:ascii="Courier New" w:hAnsi="Courier New"/>
          <w:sz w:val="17"/>
        </w:rPr>
        <w:t xml:space="preserve">UN    United Nations (Vereinte Nationen)</w:t>
      </w:r>
    </w:p>
    <w:p>
      <w:r>
        <w:rPr>
          <w:rFonts w:ascii="Courier New" w:hAnsi="Courier New"/>
          <w:sz w:val="17"/>
        </w:rPr>
        <w:t xml:space="preserve">VMBI    Ministerialblatt des Bundesministeriums der Verteidigung</w:t>
      </w:r>
    </w:p>
    <w:p>
      <w:r>
        <w:t xml:space="preserve">Inhaltsverzeichnis</w:t>
      </w:r>
    </w:p>
    <w:p>
      <w:r>
        <w:rPr>
          <w:rFonts w:ascii="Courier New" w:hAnsi="Courier New"/>
          <w:sz w:val="17"/>
        </w:rPr>
        <w:t xml:space="preserve">Ausnahme 1    – offen –</w:t>
      </w:r>
    </w:p>
    <w:p>
      <w:r>
        <w:rPr>
          <w:rFonts w:ascii="Courier New" w:hAnsi="Courier New"/>
          <w:sz w:val="17"/>
        </w:rPr>
        <w:t xml:space="preserve">Ausnahme 2    – offen –</w:t>
      </w:r>
    </w:p>
    <w:p>
      <w:r>
        <w:rPr>
          <w:rFonts w:ascii="Courier New" w:hAnsi="Courier New"/>
          <w:sz w:val="17"/>
        </w:rPr>
        <w:t xml:space="preserve">Ausnahme 3    – offen –</w:t>
      </w:r>
    </w:p>
    <w:p>
      <w:r>
        <w:rPr>
          <w:rFonts w:ascii="Courier New" w:hAnsi="Courier New"/>
          <w:sz w:val="17"/>
        </w:rPr>
        <w:t xml:space="preserve">Ausnahme 4    – offen –</w:t>
      </w:r>
    </w:p>
    <w:p>
      <w:r>
        <w:rPr>
          <w:rFonts w:ascii="Courier New" w:hAnsi="Courier New"/>
          <w:sz w:val="17"/>
        </w:rPr>
        <w:t xml:space="preserve">Ausnahme 5    – offen –</w:t>
      </w:r>
    </w:p>
    <w:p>
      <w:r>
        <w:rPr>
          <w:rFonts w:ascii="Courier New" w:hAnsi="Courier New"/>
          <w:sz w:val="17"/>
        </w:rPr>
        <w:t xml:space="preserve">Ausnahme 6    – offen –</w:t>
      </w:r>
    </w:p>
    <w:p>
      <w:r>
        <w:rPr>
          <w:rFonts w:ascii="Courier New" w:hAnsi="Courier New"/>
          <w:sz w:val="17"/>
        </w:rPr>
        <w:t xml:space="preserve">Ausnahme 7    – offen –</w:t>
      </w:r>
    </w:p>
    <w:p>
      <w:r>
        <w:rPr>
          <w:rFonts w:ascii="Courier New" w:hAnsi="Courier New"/>
          <w:sz w:val="17"/>
        </w:rPr>
        <w:t xml:space="preserve">Ausnahme 8 (B)    Beförderung gefährlicher Güter mit Fähren</w:t>
      </w:r>
    </w:p>
    <w:p>
      <w:r>
        <w:rPr>
          <w:rFonts w:ascii="Courier New" w:hAnsi="Courier New"/>
          <w:sz w:val="17"/>
        </w:rPr>
        <w:t xml:space="preserve">Ausnahme 9 (B, E, S)    Tanks aus glasfaserverstärktem Kunststoff</w:t>
      </w:r>
    </w:p>
    <w:p>
      <w:r>
        <w:rPr>
          <w:rFonts w:ascii="Courier New" w:hAnsi="Courier New"/>
          <w:sz w:val="17"/>
        </w:rPr>
        <w:t xml:space="preserve">Ausnahme 10    – offen –</w:t>
      </w:r>
    </w:p>
    <w:p>
      <w:r>
        <w:rPr>
          <w:rFonts w:ascii="Courier New" w:hAnsi="Courier New"/>
          <w:sz w:val="17"/>
        </w:rPr>
        <w:t xml:space="preserve">Ausnahme 11    – offen –</w:t>
      </w:r>
    </w:p>
    <w:p>
      <w:r>
        <w:rPr>
          <w:rFonts w:ascii="Courier New" w:hAnsi="Courier New"/>
          <w:sz w:val="17"/>
        </w:rPr>
        <w:t xml:space="preserve">Ausnahme 12    – offen –</w:t>
      </w:r>
    </w:p>
    <w:p>
      <w:r>
        <w:rPr>
          <w:rFonts w:ascii="Courier New" w:hAnsi="Courier New"/>
          <w:sz w:val="17"/>
        </w:rPr>
        <w:t xml:space="preserve">Ausnahme 13    – offen –</w:t>
      </w:r>
    </w:p>
    <w:p>
      <w:r>
        <w:rPr>
          <w:rFonts w:ascii="Courier New" w:hAnsi="Courier New"/>
          <w:sz w:val="17"/>
        </w:rPr>
        <w:t xml:space="preserve">Ausnahme 14    – offen –</w:t>
      </w:r>
    </w:p>
    <w:p>
      <w:r>
        <w:rPr>
          <w:rFonts w:ascii="Courier New" w:hAnsi="Courier New"/>
          <w:sz w:val="17"/>
        </w:rPr>
        <w:t xml:space="preserve">Ausnahme 15    – offen –</w:t>
      </w:r>
    </w:p>
    <w:p>
      <w:r>
        <w:rPr>
          <w:rFonts w:ascii="Courier New" w:hAnsi="Courier New"/>
          <w:sz w:val="17"/>
        </w:rPr>
        <w:t xml:space="preserve">Ausnahme 16    – offen –</w:t>
      </w:r>
    </w:p>
    <w:p>
      <w:r>
        <w:rPr>
          <w:rFonts w:ascii="Courier New" w:hAnsi="Courier New"/>
          <w:sz w:val="17"/>
        </w:rPr>
        <w:t xml:space="preserve">Ausnahme 17    – offen –</w:t>
      </w:r>
    </w:p>
    <w:p>
      <w:r>
        <w:rPr>
          <w:rFonts w:ascii="Courier New" w:hAnsi="Courier New"/>
          <w:sz w:val="17"/>
        </w:rPr>
        <w:t xml:space="preserve">Ausnahme 18 (S)    Beförderungspapier</w:t>
      </w:r>
    </w:p>
    <w:p>
      <w:r>
        <w:rPr>
          <w:rFonts w:ascii="Courier New" w:hAnsi="Courier New"/>
          <w:sz w:val="17"/>
        </w:rPr>
        <w:t xml:space="preserve">Ausnahme 19    – offen –</w:t>
      </w:r>
    </w:p>
    <w:p>
      <w:r>
        <w:rPr>
          <w:rFonts w:ascii="Courier New" w:hAnsi="Courier New"/>
          <w:sz w:val="17"/>
        </w:rPr>
        <w:t xml:space="preserve">Ausnahme 20 (B, E, S)    Beförderung verpackter gefährlicher Abfälle</w:t>
      </w:r>
    </w:p>
    <w:p>
      <w:r>
        <w:rPr>
          <w:rFonts w:ascii="Courier New" w:hAnsi="Courier New"/>
          <w:sz w:val="17"/>
        </w:rPr>
        <w:t xml:space="preserve">Ausnahme 21 (B, E, S)    Zusammenpacken von Patronen mit Waffenpflegemitteln</w:t>
      </w:r>
    </w:p>
    <w:p>
      <w:r>
        <w:rPr>
          <w:rFonts w:ascii="Courier New" w:hAnsi="Courier New"/>
          <w:sz w:val="17"/>
        </w:rPr>
        <w:t xml:space="preserve">Ausnahme 22 (E, S)    Saug-Druck-Tanks</w:t>
      </w:r>
    </w:p>
    <w:p>
      <w:r>
        <w:rPr>
          <w:rFonts w:ascii="Courier New" w:hAnsi="Courier New"/>
          <w:sz w:val="17"/>
        </w:rPr>
        <w:t xml:space="preserve">Ausnahme 23    – offen –</w:t>
      </w:r>
    </w:p>
    <w:p>
      <w:r>
        <w:rPr>
          <w:rFonts w:ascii="Courier New" w:hAnsi="Courier New"/>
          <w:sz w:val="17"/>
        </w:rPr>
        <w:t xml:space="preserve">Ausnahme 24 (S)    Beförderung von ungereinigten leeren Eichnormalen</w:t>
      </w:r>
    </w:p>
    <w:p>
      <w:r>
        <w:rPr>
          <w:rFonts w:ascii="Courier New" w:hAnsi="Courier New"/>
          <w:sz w:val="17"/>
        </w:rPr>
        <w:t xml:space="preserve">Ausnahme 25    – offen –</w:t>
      </w:r>
    </w:p>
    <w:p>
      <w:r>
        <w:rPr>
          <w:rFonts w:ascii="Courier New" w:hAnsi="Courier New"/>
          <w:sz w:val="17"/>
        </w:rPr>
        <w:t xml:space="preserve">Ausnahme 26    – offen –</w:t>
      </w:r>
    </w:p>
    <w:p>
      <w:r>
        <w:rPr>
          <w:rFonts w:ascii="Courier New" w:hAnsi="Courier New"/>
          <w:sz w:val="17"/>
        </w:rPr>
        <w:t xml:space="preserve">Ausnahme 27    – offen –</w:t>
      </w:r>
    </w:p>
    <w:p>
      <w:r>
        <w:rPr>
          <w:rFonts w:ascii="Courier New" w:hAnsi="Courier New"/>
          <w:sz w:val="17"/>
        </w:rPr>
        <w:t xml:space="preserve">Ausnahme 28 (E, S)    Zusammenladung von Automobilteilen der Klassifizierung 1.4G mit gefährlichen Gütern</w:t>
      </w:r>
    </w:p>
    <w:p>
      <w:r>
        <w:rPr>
          <w:rFonts w:ascii="Courier New" w:hAnsi="Courier New"/>
          <w:sz w:val="17"/>
        </w:rPr>
        <w:t xml:space="preserve">Ausnahme 29    – offen –</w:t>
      </w:r>
    </w:p>
    <w:p>
      <w:r>
        <w:rPr>
          <w:rFonts w:ascii="Courier New" w:hAnsi="Courier New"/>
          <w:sz w:val="17"/>
        </w:rPr>
        <w:t xml:space="preserve">Ausnahme 30    – offen –</w:t>
      </w:r>
    </w:p>
    <w:p>
      <w:r>
        <w:rPr>
          <w:rFonts w:ascii="Courier New" w:hAnsi="Courier New"/>
          <w:sz w:val="17"/>
        </w:rPr>
        <w:t xml:space="preserve">Ausnahme 31 (S)    Prüfungsfahrten bei technischen Untersuchungen</w:t>
      </w:r>
    </w:p>
    <w:p>
      <w:r>
        <w:rPr>
          <w:rFonts w:ascii="Courier New" w:hAnsi="Courier New"/>
          <w:sz w:val="17"/>
        </w:rPr>
        <w:t xml:space="preserve">Ausnahme 32 (S, E)    Beförderung durch zivile Unternehmen im Auftrag und unter der Verantwortung der Bundeswehr</w:t>
      </w:r>
    </w:p>
    <w:p>
      <w:r>
        <w:rPr>
          <w:rFonts w:ascii="Courier New" w:hAnsi="Courier New"/>
          <w:sz w:val="17"/>
        </w:rPr>
        <w:t xml:space="preserve">Ausnahme 33 (M)    Beförderung gefährlicher Güter auf Fährschiffen</w:t>
      </w:r>
    </w:p>
    <w:p>
      <w:r>
        <w:rPr>
          <w:rFonts w:ascii="Courier New" w:hAnsi="Courier New"/>
          <w:sz w:val="17"/>
        </w:rPr>
        <w:t xml:space="preserve">Ausnahme 34 (M)    Beförderung gefährlicher Güter zur Offshore-Versorgung</w:t>
      </w:r>
    </w:p>
    <w:p>
      <w:r>
        <w:t xml:space="preserve">Ausnahme 1</w:t>
      </w:r>
    </w:p>
    <w:p>
      <w:r>
        <w:t xml:space="preserve">– offen –</w:t>
      </w:r>
    </w:p>
    <w:p>
      <w:r>
        <w:t xml:space="preserve">Ausnahme 2</w:t>
      </w:r>
    </w:p>
    <w:p>
      <w:r>
        <w:t xml:space="preserve">– offen –</w:t>
      </w:r>
    </w:p>
    <w:p>
      <w:r>
        <w:t xml:space="preserve">Ausnahme 3</w:t>
      </w:r>
    </w:p>
    <w:p>
      <w:r>
        <w:t xml:space="preserve">– offen –</w:t>
      </w:r>
    </w:p>
    <w:p>
      <w:r>
        <w:t xml:space="preserve">Ausnahme 4</w:t>
      </w:r>
    </w:p>
    <w:p>
      <w:r>
        <w:t xml:space="preserve">– offen –</w:t>
      </w:r>
    </w:p>
    <w:p>
      <w:r>
        <w:t xml:space="preserve">Ausnahme 5</w:t>
      </w:r>
    </w:p>
    <w:p>
      <w:r>
        <w:t xml:space="preserve">– offen –</w:t>
      </w:r>
    </w:p>
    <w:p>
      <w:r>
        <w:t xml:space="preserve">Ausnahme 6</w:t>
      </w:r>
    </w:p>
    <w:p>
      <w:r>
        <w:t xml:space="preserve">– offen –</w:t>
      </w:r>
    </w:p>
    <w:p>
      <w:r>
        <w:t xml:space="preserve">Ausnahme 7</w:t>
      </w:r>
    </w:p>
    <w:p>
      <w:r>
        <w:t xml:space="preserve">– offen –</w:t>
      </w:r>
    </w:p>
    <w:p>
      <w:r>
        <w:t xml:space="preserve">Ausnahme 8 (B)Beförderung gefährlicher Güter mit Fähren</w:t>
      </w:r>
    </w:p>
    <w:p>
      <w:pPr>
        <w:ind w:left="420"/>
      </w:pPr>
      <w:r>
        <w:t xml:space="preserve">1 Abweichend von § 1 Absatz 3 Nummer 3 der GGVSEB in Verbindung mit Absatz 1.16.1.1.1, Abschnitt 1.16.3 und 1.16.4, Abschnitt 8.3.1 sowie Teil 7 und Kapitel 9.1 ADN dürfen gefährliche Güter auf Fahrzeugen (Beförderungseinheiten) mit Fähren nur befördert werden, wenn die nachstehenden ergänzenden Vorschriften eingehalten werden. Vorschriften, die nur für offene Fähren oder nur für gedeckte oder geschlossene Fähren gelten, sind mit einer entsprechenden Überschrift unmittelbar vor der betreffenden Bestimmung versehen.</w:t>
      </w:r>
    </w:p>
    <w:p>
      <w:pPr>
        <w:ind w:left="420"/>
      </w:pPr>
      <w:r>
        <w:t xml:space="preserve">2 Bau und Ausrüstung</w:t>
      </w:r>
    </w:p>
    <w:p>
      <w:pPr>
        <w:ind w:left="420"/>
      </w:pPr>
      <w:r>
        <w:t xml:space="preserve">2.1 Offene FährenDas Fahrbahndeck muss an mindestens zwei Seiten offen sein.Gedeckte/geschlossene FährenDas Fahrzeugdeck muss mit einer mechanischen Lüftung versehen sein, deren Kapazität ausreicht, um einen 20fachen Luftwechsel pro Stunde im Fahrzeugdeck zu erzielen. Hierbei ist mit dem Volumen des leeren Fahrzeugdecks zu rechnen. Der Ventilator muss so ausgeführt sein, dass Funkenbildung bei Berührung eines Flügels mit dem Ventilatorgehäuse sowie elektrostatische Aufladung ausgeschlossen sind. Der Ventilator ist so anzuordnen oder zu schützen, dass keine Gegenstände hineingelangen können. Die Luftführung muss so angeordnet sein, dass die abgesaugte Luft nicht wieder in Schiffsräume eindringen kann. Die Absaugschächte müssen bis zu 50 Millimeter Abstand an das Fahrzeugdeck geführt sein und sich an dessen äußeren Enden befinden. Sind die Absaugschächte abnehmbar, müssen sie für den Zusammenbau mit dem Ventilator geeignet sein und sicher befestigt werden können. Der Schutz gegen Witterungseinflüsse und Spritzwasser muss gegeben sein. Die Zuluft muss während des Ventilierens gewährleistet sein.</w:t>
      </w:r>
    </w:p>
    <w:p>
      <w:pPr>
        <w:ind w:left="420"/>
      </w:pPr>
      <w:r>
        <w:t xml:space="preserve">2.2 Das Fahrbahndeck oder Fahrzeugdeck muss wasserdicht und aus Stahl sein. Ist auf das Fahrbahndeck oder Fahrzeugdeck ein zusätzlicher Belag aufgebracht, muss er aus schwer entflammbarem und nicht saugfähigem Material sein.</w:t>
      </w:r>
    </w:p>
    <w:p>
      <w:pPr>
        <w:ind w:left="420"/>
      </w:pPr>
      <w:r>
        <w:t xml:space="preserve">2.3 Es dürfen keine Zugänge und Ausstiege im Fahrbahndeck oder Fahrzeugdeck vorhanden sein, die während des normalen Betriebs der Fähre begangen werden. Andere Zugänge und Ausstiege müssen in geschlossenem Zustand wasserdicht sein.</w:t>
      </w:r>
    </w:p>
    <w:p>
      <w:pPr>
        <w:ind w:left="420"/>
      </w:pPr>
      <w:r>
        <w:t xml:space="preserve">2.4 Für Beförderungseinheiten sind Stellplätze festzulegen; diese sind auf dem Fahrbahndeck oder Fahrzeugdeck kenntlich zu machen. Die Stellplätze müssen folgende Anforderungen erfüllen:</w:t>
      </w:r>
    </w:p>
    <w:p>
      <w:pPr>
        <w:ind w:left="420"/>
      </w:pPr>
      <w:r>
        <w:t xml:space="preserve">2.4.1 Im Umkreis von 3 Meter um die Stellplätze und 2 Meter über der im Zulassungszeugnis der Fähre festgelegten größten Höhe der Beförderungseinheiten müssen folgende Anforderungen erfüllt sein:</w:t>
      </w:r>
    </w:p>
    <w:p>
      <w:pPr>
        <w:ind w:left="420"/>
      </w:pPr>
      <w:r>
        <w:t xml:space="preserve">2.4.1.1 Offene FährenDie elektrischen Anlagen müssen mindestens der Vorschrift für elektrische Einrichtung vom Typ „begrenzte Explosionsgefahr“ für die Temperaturklasse T3 im Sinne des Abschnitts 1.2.1 ADN entsprechen.Gedeckte/geschlossene FährenDie elektrischen Anlagen müssen mindestens der Vorschrift für elektrische Einrichtung vom Typ „begrenzte Explosionsgefahr“ für die Temperaturklasse T4 im Sinne des Abschnitts 1.2.1 ADN entsprechen.</w:t>
      </w:r>
    </w:p>
    <w:p>
      <w:pPr>
        <w:ind w:left="420"/>
      </w:pPr>
      <w:r>
        <w:t xml:space="preserve">2.4.1.2 Zu- und Ablüfter müssen wasserdicht verschließbar sein.</w:t>
      </w:r>
    </w:p>
    <w:p>
      <w:pPr>
        <w:ind w:left="420"/>
      </w:pPr>
      <w:r>
        <w:t xml:space="preserve">2.4.1.3 Offene FährenNieder- und Eingänge zu Unterdecksräumen und Seitenräumen und sonstige Öffnungen müssen sprühwasserdicht und wetterdicht sein, wobei die Süllhöhe nicht unter 300 Millimeter betragen darf.</w:t>
      </w:r>
    </w:p>
    <w:p>
      <w:pPr>
        <w:ind w:left="420"/>
      </w:pPr>
      <w:r>
        <w:t xml:space="preserve">2.4.1.4 Mündungen von Abgasrohren von Maschinen oder Heizanlagen müssen mit Vorrichtungen zum Schutz gegen das Austreten von Funken ausgerüstet sein.</w:t>
      </w:r>
    </w:p>
    <w:p>
      <w:pPr>
        <w:ind w:left="420"/>
      </w:pPr>
      <w:r>
        <w:t xml:space="preserve">2.4.2 Offene FährenDie Stellplätze dürfen nicht überbaut sein. Steuerhäuser und Geräteträger dürfen sich über den Stellplätzen befinden, wenn die Vorschriften der Nummer 2.4.1 eingehalten sind.</w:t>
      </w:r>
    </w:p>
    <w:p>
      <w:pPr>
        <w:ind w:left="420"/>
      </w:pPr>
      <w:r>
        <w:t xml:space="preserve">2.4.3 Die Stellplätze sind durch geeignete Maßnahmen gegen den Zutritt Unbefugter zu sichern.</w:t>
      </w:r>
    </w:p>
    <w:p>
      <w:pPr>
        <w:ind w:left="420"/>
      </w:pPr>
      <w:r>
        <w:t xml:space="preserve">2.5 Die Antriebsmaschinen der Fähren müssen unter Deck oder in einem geschlossenen Maschinenraum aufgestellt sein. Der Maschinenraum muss so gebaut und eingerichtet sein, dass ein auf dem Fahrbahndeck oder Fahrzeugdeck frei werdendes Dampf/Luft-Gemisch weder von der Antriebsmaschine angesaugt werden kann, noch in das Innere des Maschinenraums gelangen kann.</w:t>
      </w:r>
    </w:p>
    <w:p>
      <w:pPr>
        <w:ind w:left="420"/>
      </w:pPr>
      <w:r>
        <w:t xml:space="preserve">2.6 Es muss eine Sprechfunkanlage für den öffentlichen Fernsprechdienst vorhanden sein.</w:t>
      </w:r>
    </w:p>
    <w:p>
      <w:pPr>
        <w:ind w:left="420"/>
      </w:pPr>
      <w:r>
        <w:t xml:space="preserve">2.7 Unbeschadet der Vorschriften der Binnenschiffsuntersuchungsordnung vom 21. September 2018 (BGBl. I S. 1398) in der jeweils geltenden Fassung sind folgende Maßnahmen zu treffen:</w:t>
      </w:r>
    </w:p>
    <w:p>
      <w:pPr>
        <w:ind w:left="420"/>
      </w:pPr>
      <w:r>
        <w:t xml:space="preserve">2.7.1 Im Maschinenraum und in einem eventuell vorhandenen Heizungsraum muss eine fest eingebaute Feuerlöschanlage vorhanden sein, die im Steuerhaus ausgelöst werden kann. Für Fähren, deren Kiel vor dem 1. Januar 1994 gelegt worden ist, reicht es aus, wenn die Feuerlöschanlage außerhalb des Aufstellungsraumes von gut zugänglicher Stelle an Deck ausgelöst werden kann.</w:t>
      </w:r>
    </w:p>
    <w:p>
      <w:pPr>
        <w:ind w:left="420"/>
      </w:pPr>
      <w:r>
        <w:t xml:space="preserve">2.7.2 Gedeckte/geschlossene FährenDas Fahrzeugdeck muss mit einer Feuerlöschanlage ausgerüstet sein. Die Anlage muss entweder automatisch ausgelöst werden oder es muss eine ständige Überwachung der Beförderungseinheiten durch die Besatzung erfolgen oder es muss eine vollständige Videoüberwachung des Fahrzeugdecks vorhanden sein.</w:t>
      </w:r>
    </w:p>
    <w:p>
      <w:pPr>
        <w:ind w:left="420"/>
      </w:pPr>
      <w:r>
        <w:t xml:space="preserve">2.7.3 Im Bereich des Fahrbahndecks oder Fahrzeugdecks und der Aufenthaltsräume für Fahrgäste muss jede beliebige Stelle von mindestens zwei örtlich verschiedenen Hydranten mit je einer einzigen Schlauchlänge von höchstens 20 Meter Länge erreicht werden können. Feuerlöschschläuche müssen an die Hydranten fest angeschlossen sein.</w:t>
      </w:r>
    </w:p>
    <w:p>
      <w:pPr>
        <w:ind w:left="420"/>
      </w:pPr>
      <w:r>
        <w:t xml:space="preserve">2.7.4 Die Hydranten müssen durch eine fest eingebaute Feuerlöschpumpe versorgt werden, die im Steuerhaus oder von einer gut zugänglichen Stelle an Deck in Betrieb genommen werden kann.</w:t>
      </w:r>
    </w:p>
    <w:p>
      <w:pPr>
        <w:ind w:left="420"/>
      </w:pPr>
      <w:r>
        <w:t xml:space="preserve">2.7.5 Offene FährenZusätzlich zu den nach der Binnenschiffsuntersuchungsordnung geforderten Feuerlöschern ist je ein Feuerlöscher vorn und achtern im Bereich des Fahrbahndecks anzubringen.Gedeckte/geschlossene FährenZusätzlich zu den nach der Binnenschiffsuntersuchungsordnung geforderten Handfeuerlöschern sind Feuerlöscher gemäß Notfallplan an Bord zu platzieren.</w:t>
      </w:r>
    </w:p>
    <w:p>
      <w:pPr>
        <w:ind w:left="420"/>
      </w:pPr>
      <w:r>
        <w:t xml:space="preserve">2.8 Wenn die Bau- und Ausrüstungsvorschriften der Nummern 2.1 bis 2.7 nicht eingehalten sind, dürfen nur die freigestellten Mengen nach Unterabschnitt 1.1.3.6 ADN oder Beförderungseinheiten ohne Kennzeichnung nach Unterabschnitt 5.3.2.1 ADR und Tankfahrzeuge mit gefährlichen Gütern der UN-Nummer 1202 befördert werden. Ein Zulassungszeugnis nach Absatz 1.16.1.1.1 ADN ist in diesem Fall nicht erforderlich.</w:t>
      </w:r>
    </w:p>
    <w:p>
      <w:pPr>
        <w:ind w:left="420"/>
      </w:pPr>
      <w:r>
        <w:t xml:space="preserve">3 Betriebsvorschriften</w:t>
      </w:r>
    </w:p>
    <w:p>
      <w:pPr>
        <w:ind w:left="420"/>
      </w:pPr>
      <w:r>
        <w:t xml:space="preserve">3.0 Diese Betriebsvorschriften gelten auch in den Fällen der Nummer 2.8.</w:t>
      </w:r>
    </w:p>
    <w:p>
      <w:pPr>
        <w:ind w:left="420"/>
      </w:pPr>
      <w:r>
        <w:t xml:space="preserve">3.1 Pflichten des Fährbetreibers und des Fährpersonals</w:t>
      </w:r>
    </w:p>
    <w:p>
      <w:pPr>
        <w:ind w:left="420"/>
      </w:pPr>
      <w:r>
        <w:t xml:space="preserve">3.1.1 Der Fährbetreiber hat sicherzustellen, dass der Fahrzeugführer einer Beförderungseinheit mit gefährlichen Gütern in geeigneter Weise auf seine nachfolgend genannten Pflichten hingewiesen wird. Der Hinweis kann insbesondere durch Aufstellen von Hinweisschildern oder durch mündliche Unterrichtung durch den Fährbetreiber oder das Fährpersonal erfolgen.</w:t>
      </w:r>
    </w:p>
    <w:p>
      <w:pPr>
        <w:ind w:left="420"/>
      </w:pPr>
      <w:r>
        <w:t xml:space="preserve">3.1.2 Gedeckte/geschlossene FährenFür jede Fähre ist ein Notfallplan aufzustellen, in dem Angaben über die Platzierung der Feuerlöscher, der Hydranten, das Verhalten der Besatzung in Notfällen und der zu unterrichtenden zuständigen Behörden enthalten sind und der EmS-Leitfaden „Unfallbekämpfungsmaßnahmen für Schiffe, die gefährliche Güter befördern“ Berücksichtigung findet. Der Notfallplan ist durch die Reederei aufzustellen und muss mit der den Fährbetrieb genehmigenden Behörde abgestimmt sein.</w:t>
      </w:r>
    </w:p>
    <w:p>
      <w:pPr>
        <w:ind w:left="420"/>
      </w:pPr>
      <w:r>
        <w:t xml:space="preserve">3.1.3 Gedeckte/geschlossene FährenWährend der Beförderung gefährlicher Güter muss ein Sachkundiger gemäß Unterabschnitt 8.2.1.2 ADN mit gültiger Bescheinigung an Bord sein.</w:t>
      </w:r>
    </w:p>
    <w:p>
      <w:pPr>
        <w:ind w:left="420"/>
      </w:pPr>
      <w:r>
        <w:t xml:space="preserve">3.1.4 Gedeckte/geschlossene FährenDie Besatzung muss gemäß den Seeverkehrsvorschriften eine Sicherheits- und Brandschutzausbildung erhalten haben und regelmäßig darin unterwiesen werden.</w:t>
      </w:r>
    </w:p>
    <w:p>
      <w:pPr>
        <w:ind w:left="420"/>
      </w:pPr>
      <w:r>
        <w:t xml:space="preserve">3.2 Pflichten des Fährführers</w:t>
      </w:r>
    </w:p>
    <w:p>
      <w:pPr>
        <w:ind w:left="420"/>
      </w:pPr>
      <w:r>
        <w:t xml:space="preserve">3.2.1 Offene FährenDer Fährführer darf, wenn Fahrgäste an Bord sind, je Überfahrt nur eine mit gefährlichen Gütern beladene Beförderungseinheit und deren Mitglieder der Fahrzeugbesatzung befördern. Sofern die baulichen Voraussetzungen der Nummer 2, ausgenommen über die Kenntlichmachung der Stellplätze auf dem Fahrbahndeck, erfüllt sind, dürfen auch mehrere Beförderungseinheiten mit gefährlichen Gütern und deren Mitglieder der Fahrzeugbesatzung befördert werden, wenn keine Fahrgäste an Bord sind.</w:t>
      </w:r>
    </w:p>
    <w:p>
      <w:pPr>
        <w:ind w:left="420"/>
      </w:pPr>
      <w:r>
        <w:t xml:space="preserve">3.2.2 Gedeckte/geschlossene FährenEs dürfen nur gefährliche Güter der Klassen 1.4S, 3, 4.1 (mit Ausnahme von selbstzersetzlichen Stoffen), 4.2, 4.3, 5.1, 6.1, 6.2, 7, 8 und 9 befördert werden. Temperaturkontrollierte Stoffe dieser Gefahrgutklassen dürfen nicht befördert werden.</w:t>
      </w:r>
    </w:p>
    <w:p>
      <w:pPr>
        <w:ind w:left="420"/>
      </w:pPr>
      <w:r>
        <w:t xml:space="preserve">3.2.3 Gedeckte/geschlossene FährenWährend der Be- und Entladung der Fähre sind die Bug- und Hecktore vollständig zu öffnen.</w:t>
      </w:r>
    </w:p>
    <w:p>
      <w:pPr>
        <w:ind w:left="420"/>
      </w:pPr>
      <w:r>
        <w:t xml:space="preserve">3.2.4 Gedeckte/geschlossene FährenDer Fährführer hat dafür zu sorgen, dass die Beförderungseinheiten mit gefährlichen Gütern vor dem Auffahren auf die Fähre auf austretendes Gefahrgut hin kontrolliert werden.</w:t>
      </w:r>
    </w:p>
    <w:p>
      <w:pPr>
        <w:ind w:left="420"/>
      </w:pPr>
      <w:r>
        <w:t xml:space="preserve">3.2.5 Gedeckte/geschlossene FährenDer Fährführer hat dafür zu sorgen, dass alle Motoren, Fremdheizungen und Kühlgeräte von allen abgestellten Fahrzeugen auf dem Fahrzeugdeck abgeschaltet sind.</w:t>
      </w:r>
    </w:p>
    <w:p>
      <w:pPr>
        <w:ind w:left="420"/>
      </w:pPr>
      <w:r>
        <w:t xml:space="preserve">3.2.6 Gedeckte/geschlossene FährenEs dürfen sich während der Überfahrt außer den Mitgliedern der Fahrzeugbesatzung keine Fahrgäste auf dem Fahrzeugdeck aufhalten.</w:t>
      </w:r>
    </w:p>
    <w:p>
      <w:pPr>
        <w:ind w:left="420"/>
      </w:pPr>
      <w:r>
        <w:t xml:space="preserve">3.2.7 Der Fährführer hat sicherzustellen, dass die Beförderungseinheit mit gefährlichen Gütern als erstes oder letztes Fahrzeug auf die Fähre auffährt, sofern nicht ausschließlich Beförderungseinheiten mit gefährlichen Gütern und deren Mitglieder der Fahrzeugbesatzung befördert werden.</w:t>
      </w:r>
    </w:p>
    <w:p>
      <w:pPr>
        <w:ind w:left="420"/>
      </w:pPr>
      <w:r>
        <w:t xml:space="preserve">3.2.8 Der Fährführer hat dafür zu sorgen, dass während der Beförderung rund um die Beförderungseinheit mit gefährlichen Gütern ein Schutzbereich von mindestens 1 Meter frei und begehbar bleibt.</w:t>
      </w:r>
    </w:p>
    <w:p>
      <w:pPr>
        <w:ind w:left="420"/>
      </w:pPr>
      <w:r>
        <w:t xml:space="preserve">3.2.9 Der Fährführer hat einen Abdruck dieser Ausnahme an Bord mitzuführen.</w:t>
      </w:r>
    </w:p>
    <w:p>
      <w:pPr>
        <w:ind w:left="420"/>
      </w:pPr>
      <w:r>
        <w:t xml:space="preserve">3.2.10 Die für die jeweilige Wasserstraße erlassenen Verkehrsvorschriften bleiben unberührt.</w:t>
      </w:r>
    </w:p>
    <w:p>
      <w:pPr>
        <w:ind w:left="420"/>
      </w:pPr>
      <w:r>
        <w:t xml:space="preserve">3.3 Pflichten des Fahrzeugführers der Beförderungseinheit mit gefährlichen Gütern</w:t>
      </w:r>
    </w:p>
    <w:p>
      <w:pPr>
        <w:ind w:left="420"/>
      </w:pPr>
      <w:r>
        <w:t xml:space="preserve">3.3.1 Der Fahrzeugführer muss vor der Auffahrt auf die Fähre den Fährführer durch Vorlage des Beförderungspapiers über die Art der Ladung und die sich daraus ergebenden Gefahren in Kenntnis setzen.</w:t>
      </w:r>
    </w:p>
    <w:p>
      <w:pPr>
        <w:ind w:left="420"/>
      </w:pPr>
      <w:r>
        <w:t xml:space="preserve">3.3.2 Der Fahrzeugführer muss an Bord der Fähre die Beförderungseinheit durch Anziehen der Feststellbremse und Unterlegen von Keilen gegen Wegrollen und Wegrutschen sichern.</w:t>
      </w:r>
    </w:p>
    <w:p>
      <w:pPr>
        <w:ind w:left="420"/>
      </w:pPr>
      <w:r>
        <w:t xml:space="preserve">3.3.3 Offene FährenDer Fahrzeugführer ist während der Überfahrt zur Überwachung der Beförderungseinheit verpflichtet.</w:t>
      </w:r>
    </w:p>
    <w:p>
      <w:pPr>
        <w:ind w:left="420"/>
      </w:pPr>
      <w:r>
        <w:t xml:space="preserve">3.3.4 Wird vor Auffahrt auf die Fähre austretendes gefährliches Gut festgestellt oder wird die in Nummer 3.3.1 bestimmte Pflicht nicht erfüllt, darf der Fahrzeugführer die Beförderungseinheit nicht auf die Fähre fahren.</w:t>
      </w:r>
    </w:p>
    <w:p>
      <w:pPr>
        <w:ind w:left="420"/>
      </w:pPr>
      <w:r>
        <w:t xml:space="preserve">3.3.5 Der Fahrzeugführer hat unbeschadet der Ausnahme 18 das für die Beförderung auf der Straße nach dem ADR erforderliche Beförderungspapier mitzuführen.</w:t>
      </w:r>
    </w:p>
    <w:p>
      <w:pPr>
        <w:ind w:left="420"/>
      </w:pPr>
      <w:r>
        <w:t xml:space="preserve">3.3.6 Der Fahrzeugführer hat die für die Beförderung auf der Straße erforderlichen schriftlichen Weisungen nach Abschnitt 5.4.3 ADR mitzuführen. Werden für die Beförderung nach dem ADR keine schriftlichen Weisungen benötigt, sind diese auch für die Beförderung mit der Fähre nicht erforderlich.</w:t>
      </w:r>
    </w:p>
    <w:p>
      <w:pPr>
        <w:ind w:left="420"/>
      </w:pPr>
      <w:r>
        <w:t xml:space="preserve">4 ZulassungszeugnisIm Zulassungszeugnis muss für die Fähre abweichend von Abschnitt 1.16.3 ADN von einer Schiffsuntersuchungskommission bestätigt sein, dass die Vorschriften der Nummer 2 eingehalten sind.</w:t>
      </w:r>
    </w:p>
    <w:p>
      <w:pPr>
        <w:ind w:left="420"/>
      </w:pPr>
      <w:r>
        <w:t xml:space="preserve">5 Sonstige VorschriftenDie Vorschriften der Fährenbetriebsverordnung vom 24. Mai 1995 (BGBl. I S. 752) in der jeweils geltenden Fassung bleiben unberührt.</w:t>
      </w:r>
    </w:p>
    <w:p>
      <w:r>
        <w:t xml:space="preserve">Ausnahme 9 (B, E, S)Tanks aus glasfaserverstärktem Kunststoff</w:t>
      </w:r>
    </w:p>
    <w:p>
      <w:pPr>
        <w:ind w:left="420"/>
      </w:pPr>
      <w:r>
        <w:t xml:space="preserve">1 Abweichend von § 1 Absatz 3 Nummer 1 bis 3 der GGVSEB in Verbindung mit den Teilen 4 und 6 ADR/RID/ADN sowie Abschnitt 7.4.1 ADR und Kapitel 7.4 RID dürfen bestimmte</w:t>
      </w:r>
    </w:p>
    <w:p>
      <w:pPr>
        <w:ind w:left="780"/>
      </w:pPr>
      <w:r>
        <w:t xml:space="preserve">a) entzündbare flüssige Stoffe der Klasse 3,</w:t>
      </w:r>
    </w:p>
    <w:p>
      <w:pPr>
        <w:ind w:left="780"/>
      </w:pPr>
      <w:r>
        <w:t xml:space="preserve">b) entzündend (oxidierend) wirkende Stoffe der Klasse 5.1,</w:t>
      </w:r>
    </w:p>
    <w:p>
      <w:pPr>
        <w:ind w:left="780"/>
      </w:pPr>
      <w:r>
        <w:t xml:space="preserve">c) giftige Stoffe der Klasse 6.1,</w:t>
      </w:r>
    </w:p>
    <w:p>
      <w:pPr>
        <w:ind w:left="780"/>
      </w:pPr>
      <w:r>
        <w:t xml:space="preserve">d) ätzende Stoffe der Klasse 8</w:t>
      </w:r>
    </w:p>
    <w:p>
      <w:pPr>
        <w:ind w:left="420"/>
      </w:pPr>
      <w:r>
        <w:t xml:space="preserve">nach der Ausnahme Nr. 26 der GGAV vom 23. Juni 1993 (BGBl. I S. 994), die zuletzt durch Artikel 1 der Verordnung vom 23. Juni 1999 (BGBl. I S. 1435) geändert worden ist, in Tanks (festverbundene Tanks, Aufsetztanks und Tankcontainer) aus glasfaserverstärktem ungesättigtem Polyesterharz oder glasfaserverstärkten Epoxidharz-Formstoffen (glasfaserverstärktem Kunststoff) befördert werden, für die diese Tanks vor dem 1. Januar 2002 entsprechend der jeweils gültigen Fassung der Ausnahme Nr. 26 der GGAV vom 23. Juni 1993 gebaut, ausgerüstet, bauartgeprüft, zugelassen und gekennzeichnet worden sind. Die neue Bezeichnung der Stoffe (UN-Nummer und Benennung) ist nach Kapitel 3.2 Tabelle A ADR/RID von den nach der GGVSEB für die Prüfung oder Zulassung von Tanks zuständigen Stellen zu ermitteln und in den Bescheinigungen nach Unterabschnitt 6.9.5.3 gemäß den bis zum 31. Dezember 2022 geltenden Vorschriften des Kapitels 6.9 ADR/RID sowie in der ADR-Zulassungsbescheinigung nach Unterabschnitt 9.1.3.1 ADR und bei Tankcontainern zusätzlich auf dem Tankcontainer (auf dem Tank selbst oder auf einer Tafel) nach Absatz 6.8.2.5.2 ADR/RID anzugeben.</w:t>
      </w:r>
    </w:p>
    <w:p>
      <w:pPr>
        <w:ind w:left="420"/>
      </w:pPr>
      <w:r>
        <w:t xml:space="preserve">2 Angaben im BeförderungspapierZusätzlich zu den sonst vorgeschriebenen Angaben ist zu vermerken: „Ausnahme 9“.</w:t>
      </w:r>
    </w:p>
    <w:p>
      <w:r>
        <w:t xml:space="preserve">Ausnahme 10</w:t>
      </w:r>
    </w:p>
    <w:p>
      <w:r>
        <w:t xml:space="preserve">– offen –</w:t>
      </w:r>
    </w:p>
    <w:p>
      <w:r>
        <w:t xml:space="preserve">Ausnahme 11</w:t>
      </w:r>
    </w:p>
    <w:p>
      <w:r>
        <w:t xml:space="preserve">– offen –</w:t>
      </w:r>
    </w:p>
    <w:p>
      <w:r>
        <w:t xml:space="preserve">Ausnahme 12</w:t>
      </w:r>
    </w:p>
    <w:p>
      <w:r>
        <w:t xml:space="preserve">– offen –</w:t>
      </w:r>
    </w:p>
    <w:p>
      <w:r>
        <w:t xml:space="preserve">Ausnahme 13</w:t>
      </w:r>
    </w:p>
    <w:p>
      <w:r>
        <w:t xml:space="preserve">– offen –</w:t>
      </w:r>
    </w:p>
    <w:p>
      <w:r>
        <w:t xml:space="preserve">Ausnahme 14</w:t>
      </w:r>
    </w:p>
    <w:p>
      <w:r>
        <w:t xml:space="preserve">– offen –</w:t>
      </w:r>
    </w:p>
    <w:p>
      <w:r>
        <w:t xml:space="preserve">Ausnahme 15</w:t>
      </w:r>
    </w:p>
    <w:p>
      <w:r>
        <w:t xml:space="preserve">– offen –</w:t>
      </w:r>
    </w:p>
    <w:p>
      <w:r>
        <w:t xml:space="preserve">Ausnahme 16</w:t>
      </w:r>
    </w:p>
    <w:p>
      <w:r>
        <w:t xml:space="preserve">– offen –</w:t>
      </w:r>
    </w:p>
    <w:p>
      <w:r>
        <w:t xml:space="preserve">Ausnahme 17</w:t>
      </w:r>
    </w:p>
    <w:p>
      <w:r>
        <w:t xml:space="preserve">– offen –</w:t>
      </w:r>
    </w:p>
    <w:p>
      <w:r>
        <w:t xml:space="preserve">Ausnahme 18 (S)Beförderungspapier</w:t>
      </w:r>
    </w:p>
    <w:p>
      <w:pPr>
        <w:ind w:left="420"/>
      </w:pPr>
      <w:r>
        <w:t xml:space="preserve">1 Abweichend von § 1 Absatz 3 Nummer 1 der GGVSEB in Verbindung mit Abschnitt 5.4.0 und 5.4.1 ADR</w:t>
      </w:r>
    </w:p>
    <w:p>
      <w:pPr>
        <w:ind w:left="780"/>
      </w:pPr>
      <w:r>
        <w:t xml:space="preserve">a) dürfen gefährliche Güter ohne Beförderungspapier befördert werden oder</w:t>
      </w:r>
    </w:p>
    <w:p>
      <w:pPr>
        <w:ind w:left="780"/>
      </w:pPr>
      <w:r>
        <w:t xml:space="preserve">b) darf im Beförderungspapier auf folgende Angaben verzichtet werden:</w:t>
      </w:r>
    </w:p>
    <w:p>
      <w:pPr>
        <w:ind w:left="1140"/>
      </w:pPr>
      <w:r>
        <w:t xml:space="preserve">aa) Empfänger,</w:t>
      </w:r>
    </w:p>
    <w:p>
      <w:pPr>
        <w:ind w:left="1140"/>
      </w:pPr>
      <w:r>
        <w:t xml:space="preserve">bb) Gesamtmenge der gefährlichen Güter,</w:t>
      </w:r>
    </w:p>
    <w:p>
      <w:pPr>
        <w:ind w:left="780"/>
      </w:pPr>
      <w:r>
        <w:t xml:space="preserve">wenn die nachfolgenden Bestimmungen eingehalten werden.</w:t>
      </w:r>
    </w:p>
    <w:p>
      <w:pPr>
        <w:ind w:left="420"/>
      </w:pPr>
      <w:r>
        <w:t xml:space="preserve">2 Befreiung vom Beförderungspapier</w:t>
      </w:r>
    </w:p>
    <w:p>
      <w:pPr>
        <w:ind w:left="420"/>
      </w:pPr>
      <w:r>
        <w:t xml:space="preserve">2.1 Gefährliche Güter in Versandstücken und ungereinigte leere Verpackungen, die für die Beförderung nicht an Dritte übergeben werden, dürfen ohne Beförderungspapier befördert werden, wenn die höchstzulässige Gesamtmenge je Beförderungseinheit nach Unterabschnitt 1.1.3.6 ADR nicht überschritten ist und eine Ausnahme dieser Verordnung, nach § 5 der GGVSEB oder eine multilaterale Vereinbarung nach Abschnitt 1.5.1 ADR nicht angewendet wird. Für gefährliche Güter nach Unterabschnitt 1.1.3.6 Beförderungskategorie 4 ADR, ausgenommen ungereinigte leere Verpackungen, sind für die Bestimmung der höchstzulässigen Gesamtmenge die Mengenangaben der Beförderungskategorie 3 in Verbindung mit Absatz 1.1.3.6.4 ADR anzuwenden.</w:t>
      </w:r>
    </w:p>
    <w:p>
      <w:pPr>
        <w:ind w:left="420"/>
      </w:pPr>
      <w:r>
        <w:t xml:space="preserve">2.2 Bei der Beförderung von ungereinigten leeren Tankfahrzeugen, ungereinigten leeren Fahrzeugen, ungereinigten leeren Aufsetztanks, ungereinigten leeren ortsbeweglichen Tanks, ungereinigten leeren Tankcontainern, ungereinigten leeren Containern, ungereinigten leeren Schüttgut-Containern, ungereinigten leeren Batterie-Fahrzeugen, ungereinigten leeren MEGC oder ungereinigten leeren MEMU darf das Beförderungspapier für das zuletzt darin enthaltene Gut mitgeführt werden.</w:t>
      </w:r>
    </w:p>
    <w:p>
      <w:pPr>
        <w:ind w:left="420"/>
      </w:pPr>
      <w:r>
        <w:t xml:space="preserve">3 Verzicht auf Angaben im Beförderungspapier</w:t>
      </w:r>
    </w:p>
    <w:p>
      <w:pPr>
        <w:ind w:left="420"/>
      </w:pPr>
      <w:r>
        <w:t xml:space="preserve">3.1 Bei örtlich begrenzten Beförderungen (Verteilerverkehr, einschließlich Sammelverkehr) darf auf die Angabe</w:t>
      </w:r>
    </w:p>
    <w:p>
      <w:pPr>
        <w:ind w:left="780"/>
      </w:pPr>
      <w:r>
        <w:t xml:space="preserve">a) des Empfängers verzichtet werden, wenn die Beförderung nicht verpflichtend nach ADR als geschlossene Ladung befördert werden muss und nicht nach den §§ 35 und 35a der GGVSEB durchgeführt wird,</w:t>
      </w:r>
    </w:p>
    <w:p>
      <w:pPr>
        <w:ind w:left="780"/>
      </w:pPr>
      <w:r>
        <w:t xml:space="preserve">b) der Gesamtmenge verzichtet werden, wenn der Unterabschnitt 1.1.3.6 ADR nicht angewendet wird und die übrigen Vorschriften des ADR eingehalten sind.</w:t>
      </w:r>
    </w:p>
    <w:p>
      <w:pPr>
        <w:ind w:left="420"/>
      </w:pPr>
      <w:r>
        <w:t xml:space="preserve">Satz 1 darf nicht angewendet werden für Beförderungen von Gütern</w:t>
      </w:r>
    </w:p>
    <w:p>
      <w:pPr>
        <w:ind w:left="780"/>
      </w:pPr>
      <w:r>
        <w:t xml:space="preserve">a) der Klasse 1, ausgenommen solcher der Klassifizierung 1.4S, sowie</w:t>
      </w:r>
    </w:p>
    <w:p>
      <w:pPr>
        <w:ind w:left="780"/>
      </w:pPr>
      <w:r>
        <w:t xml:space="preserve">b) der Klasse 5.2.</w:t>
      </w:r>
    </w:p>
    <w:p>
      <w:pPr>
        <w:ind w:left="420"/>
      </w:pPr>
      <w:r>
        <w:t xml:space="preserve">3.2 Zusätzlich zu den sonst vorgeschriebenen Angaben ist im Beförderungspapier zu vermerken: „Ausnahme 18“.</w:t>
      </w:r>
    </w:p>
    <w:p>
      <w:pPr>
        <w:ind w:left="420"/>
      </w:pPr>
      <w:r>
        <w:t xml:space="preserve">4 Sonstige VorschriftenDiese Ausnahme darf nicht angewendet werden für Beförderungen von Gütern der Klasse 7.</w:t>
      </w:r>
    </w:p>
    <w:p>
      <w:pPr>
        <w:ind w:left="420"/>
      </w:pPr>
      <w:r>
        <w:t xml:space="preserve">5 BefristungDie Ausnahme 18 ist bis zum 30. Juni 2027 befristet.</w:t>
      </w:r>
    </w:p>
    <w:p>
      <w:r>
        <w:t xml:space="preserve">Ausnahme 19</w:t>
      </w:r>
    </w:p>
    <w:p>
      <w:r>
        <w:t xml:space="preserve">– offen –</w:t>
      </w:r>
    </w:p>
    <w:p>
      <w:r>
        <w:t xml:space="preserve">Ausnahme 20 (B, E, S)Beförderung verpackter gefährlicher Abfälle</w:t>
      </w:r>
    </w:p>
    <w:p>
      <w:pPr>
        <w:ind w:left="420"/>
      </w:pPr>
      <w:r>
        <w:t xml:space="preserve">1 Abweichend von § 1 Absatz 3 Nummer 1 bis 3 sowie den §§ 17, 18, 21 und 22 der GGVSEB in Verbindung mit den Teilen 1 bis 5 ADR/RID/ADN dürfen Abfälle, die nach den unter Nummer 2 aufgeführten Bestimmungen nach den Abfallgruppen 1 bis 15 klassifiziert, verpackt, gekennzeichnet und bezettelt sind, unter Einhaltung der Bestimmungen nach den Nummern 3 bis 5 befördert werden.</w:t>
      </w:r>
    </w:p>
    <w:p>
      <w:pPr>
        <w:ind w:left="420"/>
      </w:pPr>
      <w:r>
        <w:t xml:space="preserve">2 Klassifizierung, Verpackung, Kennzeichnung und Bezettelung</w:t>
      </w:r>
    </w:p>
    <w:p>
      <w:pPr>
        <w:ind w:left="420"/>
      </w:pPr>
      <w:r>
        <w:t xml:space="preserve">2.1 Für eine sicherheitsgerechte Beförderung sind Abfälle so zu sortieren, dass sie keine gefährlichen Reaktionen miteinander eingehen können.</w:t>
      </w:r>
    </w:p>
    <w:p>
      <w:pPr>
        <w:ind w:left="420"/>
      </w:pPr>
      <w:r>
        <w:t xml:space="preserve">2.2 Um Gefahren, die während der Beförderung auftreten können, auszuschließen, sind die Abfälle einer der nachstehenden Abfallgruppen zuzuordnen. Ein Vermischen der einzelnen Abfallgruppen ist nicht zulässig. Die Abfallgruppen dürfen nicht auf solche Stoffe angewendet werden, für die ein Beförderungsverbot besteht oder die nach Sondervorschriften befördert werden müssen.Die Abfallgruppen gliedern sich in Untergruppen. Werden Abfälle mehrerer Untergruppen innerhalb einer Abfallgruppe befördert, sind im Beförderungspapier die für die Klasse der überwiegenden Gefahr gemäß den Absätzen 2.1.3.5.2 und 2.1.3.5.3 in Verbindung mit Unterabschnitt 2.1.3.10 ADR/RID/ADN zutreffenden Gefahrzettel und, soweit vorhanden, die Verpackungsgruppe des höchsten Gefahrengrades, gekennzeichnet durch I, II oder III, anzugeben.Die Gefahrzettel sind entsprechend den Untergruppen der jeweiligen Abfallgruppe anzubringen.</w:t>
      </w:r>
    </w:p>
    <w:p>
      <w:pPr>
        <w:ind w:left="420"/>
      </w:pPr>
      <w:r>
        <w:t xml:space="preserve">2.3 Wer Abfälle eigenverantwortlich verpackt oder verpacken lässt, muss feststellen, welcher Untergruppe innerhalb der Abfallgruppe die gefährlichen Abfälle zuzuordnen sind, damit der Nachweis der ausreichenden chemischen Verträglichkeit mit den vorgesehenen Verpackungen aus Kunststoff auf Grund der durchgeführten Bauartprüfung mit der/den Standardflüssigkeit(en) geführt werden kann. Werden innerhalb der Abfallgruppe verschiedene Untergruppen gemischt verpackt, muss der Nachweis der ausreichenden chemischen Verträglichkeit nach Unterabschnitt 4.1.1.21 in Verbindung mit Abschnitt 6.1.6 ADR/RID für alle in Spalte 8 der Tabelle in Nummer 2.4 der betreffenden Abfallgruppe aufgeführten Standardflüssigkeiten geführt worden sein. Dabei gilt dieser Verträglichkeitsnachweis für Essigsäure auch als erbracht, wenn die Verpackungsbauart für die Standardflüssigkeit Netzmittellösung zugelassen ist. Für Verpackungen der Codierung 1H2, 3H2 und 4H2 gilt der Nachweis der ausreichenden chemischen Verträglichkeit als erbracht, wenn die Verträglichkeit des Werkstoffs mit den jeweiligen Standardflüssigkeiten im Rahmen einer Bauartprüfung und -zulassung für Verpackungen der Codierung 1H1 oder 3H1 nachgewiesen wurde.</w:t>
      </w:r>
    </w:p>
    <w:p>
      <w:pPr>
        <w:ind w:left="420"/>
      </w:pPr>
      <w:r>
        <w:t xml:space="preserve">2.4 Tabelle der gefährlichen AbfälleDie in der nachfolgenden Tabelle angegebenen Klassen, Klassifizierungscodes (soweit anwendbar), Verpackungsgruppen (soweit anwendbar), Tunnelbeschränkungscodes (soweit anwendbar) und Nummern der Gefahrzettelmuster beziehen sich auf die jeweiligen gefahrgutrechtlichen Regelwerke ADN für die Binnenschifffahrt (B), RID für die Eisenbahn (E) und ADR für den Straßenverkehr (S).</w:t>
      </w:r>
    </w:p>
    <w:p>
      <w:r>
        <w:rPr>
          <w:rFonts w:ascii="Courier New" w:hAnsi="Courier New"/>
          <w:sz w:val="17"/>
        </w:rPr>
        <w:t xml:space="preserve">Abfall-/ Unter- gruppe    Klasse(n)    Verpa- ckungs- gruppe(n) oder für Klasse 2: Klassifizie- rungscode    Benennung    Angaben im Beför- derungspapier    Gefahrzettel- muster Nummer    Die chemische Verträglichkeit der Werkstoffe der Verpackungen aus Kunststoff muss mindestens gegen- über folgenden Standardflüssig- keiten gegeben sein</w:t>
      </w:r>
    </w:p>
    <w:p>
      <w:r>
        <w:rPr>
          <w:rFonts w:ascii="Courier New" w:hAnsi="Courier New"/>
          <w:sz w:val="17"/>
        </w:rPr>
        <w:t xml:space="preserve">Tunnel- beschrän- kungs- code    Verpa- ckungs- gruppe</w:t>
      </w:r>
    </w:p>
    <w:p>
      <w:r>
        <w:rPr>
          <w:rFonts w:ascii="Courier New" w:hAnsi="Courier New"/>
          <w:sz w:val="17"/>
        </w:rPr>
        <w:t xml:space="preserve">(1)    (2)    (3)    (4)    (5)    (6)    (7)    (8)</w:t>
      </w:r>
    </w:p>
    <w:p>
      <w:r>
        <w:rPr>
          <w:rFonts w:ascii="Courier New" w:hAnsi="Courier New"/>
          <w:sz w:val="17"/>
        </w:rPr>
        <w:t xml:space="preserve">1.1    (weggefallen)                        </w:t>
      </w:r>
    </w:p>
    <w:p>
      <w:r>
        <w:rPr>
          <w:rFonts w:ascii="Courier New" w:hAnsi="Courier New"/>
          <w:sz w:val="17"/>
        </w:rPr>
        <w:t xml:space="preserve">1.2    (weggefallen)                        </w:t>
      </w:r>
    </w:p>
    <w:p>
      <w:r>
        <w:rPr>
          <w:rFonts w:ascii="Courier New" w:hAnsi="Courier New"/>
          <w:sz w:val="17"/>
        </w:rPr>
        <w:t xml:space="preserve">1.3    2    6A    Abfallfeuerlöscher    (D)        2.2    </w:t>
      </w:r>
    </w:p>
    <w:p>
      <w:r>
        <w:rPr>
          <w:rFonts w:ascii="Courier New" w:hAnsi="Courier New"/>
          <w:sz w:val="17"/>
        </w:rPr>
        <w:t xml:space="preserve">2.1    3    II und III    Entzündbare, flüssige, nicht giftige, nicht ätzende Abfälle mit einem Flammpunkt unter 23 °C, deren Dampfdruck bei 50 °C 110 kPa (1,10 bar) nicht übersteigt, z. B. Benzin, Spiritus, Petroleum, Alkohole außer Methanol und mit einem Flammpunkt zwischen 23 °C und 60 °C, z. B. Dieselkraftstoff oder Heizöl, leicht    (D/E)    II    3    Essigsäure, Kohlenwasserstoffgemisch</w:t>
      </w:r>
    </w:p>
    <w:p>
      <w:r>
        <w:rPr>
          <w:rFonts w:ascii="Courier New" w:hAnsi="Courier New"/>
          <w:sz w:val="17"/>
        </w:rPr>
        <w:t xml:space="preserve">2.2    3    I bis III    Klebstoffabfälle sowie Farb- und Lackabfälle (außer solche, die der UN 1263 zuzuordnen sind, Beförderung gemäß Sondervorschrift 650 ADR/RID/ADN) einschließlich solcher mit Nitrocellulose mit einem Stickstoffgehalt von höchstens 12,6 % in der Trockenmasse    (D/E)    I    3    </w:t>
      </w:r>
    </w:p>
    <w:p>
      <w:r>
        <w:rPr>
          <w:rFonts w:ascii="Courier New" w:hAnsi="Courier New"/>
          <w:sz w:val="17"/>
        </w:rPr>
        <w:t xml:space="preserve">            Bem.: Zu Härterpasten siehe Abfallgruppe 8                </w:t>
      </w:r>
    </w:p>
    <w:p>
      <w:r>
        <w:rPr>
          <w:rFonts w:ascii="Courier New" w:hAnsi="Courier New"/>
          <w:sz w:val="17"/>
        </w:rPr>
        <w:t xml:space="preserve">3.1    3    I bis III    Entzündbare, flüssige, organische halogenhaltige oder organische sauerstoffhaltige, giftige Abfälle und solche, die nicht einer anderen Sammeleintragung zugeordnet werden können, der UN 1992, UN 2603 und UN 3248, z. B. Altöle, auch solche mit geringen Chloranteilen (z. B. polychlorierten Kohlenwasserstoffen) sowie Abfälle mit Methanol    (C/E)    I    3 + 6.1    Essigsäure, Kohlenwasserstoffgemisch</w:t>
      </w:r>
    </w:p>
    <w:p>
      <w:r>
        <w:rPr>
          <w:rFonts w:ascii="Courier New" w:hAnsi="Courier New"/>
          <w:sz w:val="17"/>
        </w:rPr>
        <w:t xml:space="preserve">3.2    6.1    I bis III    Abfälle mit halogenhaltigen Kohlenwasserstoffen mit Ausnahme von Isocyanaten der UN 2285, z. B. Trichlorethan, Trichlorethylen (Tri), Perchlorethylen (Per), Methylenchlorid, Tetrachlorkohlenstoff, Chloroform, Filterpatronen aus chemischen Reinigungsbetrieben, Antiklopfmittel    (C/D)    I    6.1 + 3    </w:t>
      </w:r>
    </w:p>
    <w:p>
      <w:r>
        <w:rPr>
          <w:rFonts w:ascii="Courier New" w:hAnsi="Courier New"/>
          <w:sz w:val="17"/>
        </w:rPr>
        <w:t xml:space="preserve">3.3    9    II    Polychlorierte Biphenyle (PCB) (UN 2315 und UN 3432), polyhalogenierte Biphenyle und Terphenyle (UN 3151 und UN 3152), auch in verpackten Kleingeräten, wie Kleinkondensatoren    (D/E)    II    9    </w:t>
      </w:r>
    </w:p>
    <w:p>
      <w:r>
        <w:rPr>
          <w:rFonts w:ascii="Courier New" w:hAnsi="Courier New"/>
          <w:sz w:val="17"/>
        </w:rPr>
        <w:t xml:space="preserve">            Bem.: Wegen PCB, PCT und polyhalogenierten Biphenylen und Terphenylen in unverpackten Geräten siehe Klasse 9, UN 2315, UN 3432, UN 3151 und UN 3152.                </w:t>
      </w:r>
    </w:p>
    <w:p>
      <w:r>
        <w:rPr>
          <w:rFonts w:ascii="Courier New" w:hAnsi="Courier New"/>
          <w:sz w:val="17"/>
        </w:rPr>
        <w:t xml:space="preserve">3.4    3    I und II    Abfälle mit flüssigen, entzündbaren, giftigen Schädlingsbekämpfungsmitteln und Pflanzenschutzmitteln mit einem Flammpunkt unter 23 °C    (C/E)    I    3 + 6.1    </w:t>
      </w:r>
    </w:p>
    <w:p>
      <w:r>
        <w:rPr>
          <w:rFonts w:ascii="Courier New" w:hAnsi="Courier New"/>
          <w:sz w:val="17"/>
        </w:rPr>
        <w:t xml:space="preserve">3.5    6.1    I bis III    Abfälle mit flüssigen, giftigen, entzündbaren Schädlingsbekämpfungsmitteln und Pflanzenschutzmitteln    (C/E)    I    6.1 + 3    </w:t>
      </w:r>
    </w:p>
    <w:p>
      <w:r>
        <w:rPr>
          <w:rFonts w:ascii="Courier New" w:hAnsi="Courier New"/>
          <w:sz w:val="17"/>
        </w:rPr>
        <w:t xml:space="preserve">4.1    3    I bis III    Entzündbare flüssige, ätzende Abfälle    (C/E)    I    3 + 8    Essigsäure, Kohlenwasser-stoffgemisch</w:t>
      </w:r>
    </w:p>
    <w:p>
      <w:r>
        <w:rPr>
          <w:rFonts w:ascii="Courier New" w:hAnsi="Courier New"/>
          <w:sz w:val="17"/>
        </w:rPr>
        <w:t xml:space="preserve">4.2    3    I und II    Entzündbare flüssige, giftige und ätzende Abfälle mit einem Flammpunkt unter 23 °C, einschließlich Gegenstände mit diesen Flüssigkeiten    (C/E)    I    3 + 6.1 + 8    </w:t>
      </w:r>
    </w:p>
    <w:p>
      <w:r>
        <w:rPr>
          <w:rFonts w:ascii="Courier New" w:hAnsi="Courier New"/>
          <w:sz w:val="17"/>
        </w:rPr>
        <w:t xml:space="preserve">5.1    9    III    Umweltgefährdender Stoff fest oder flüssig    (E)    III    9 Zusätzlich ist dauerhaft die Kennzeichnung nach 5.2.1.8.3 anzubringen    </w:t>
      </w:r>
    </w:p>
    <w:p>
      <w:r>
        <w:rPr>
          <w:rFonts w:ascii="Courier New" w:hAnsi="Courier New"/>
          <w:sz w:val="17"/>
        </w:rPr>
        <w:t xml:space="preserve">6.1    4.1    II und III    Abfälle, die aus festen Stoffen bestehen, die nicht giftige und nicht ätzende entzündbare flüssige Stoffe mit einem Flammpunkt bis 60 °C enthalten können, z. B. Holzwolle, Sägespäne, Papierabfälle, Putztücher, gebrauchte Ölfilter, verunreinigte Ölbinder, getränkt oder behaftet mit Ölen und Fetten    (E)    II    4.1    </w:t>
      </w:r>
    </w:p>
    <w:p>
      <w:r>
        <w:rPr>
          <w:rFonts w:ascii="Courier New" w:hAnsi="Courier New"/>
          <w:sz w:val="17"/>
        </w:rPr>
        <w:t xml:space="preserve">            Bem.: Phosphorsulfide, nicht frei von weißem oder gelbem Phosphor, sind zur Beförderung nicht zugelassen.                </w:t>
      </w:r>
    </w:p>
    <w:p>
      <w:r>
        <w:rPr>
          <w:rFonts w:ascii="Courier New" w:hAnsi="Courier New"/>
          <w:sz w:val="17"/>
        </w:rPr>
        <w:t xml:space="preserve">6.2    4.1    II und III    Abfälle, die Metalle oder Metall-Legierungen, pulverförmig oder in anderer entzündbarer Form enthalten    (E)    II    4.1    </w:t>
      </w:r>
    </w:p>
    <w:p>
      <w:r>
        <w:rPr>
          <w:rFonts w:ascii="Courier New" w:hAnsi="Courier New"/>
          <w:sz w:val="17"/>
        </w:rPr>
        <w:t xml:space="preserve">6.3    4.1    II und III    Abfälle, die entzündbare feste Stoffe, giftig enthalten    (E)    II    4.1 + 6.1    </w:t>
      </w:r>
    </w:p>
    <w:p>
      <w:r>
        <w:rPr>
          <w:rFonts w:ascii="Courier New" w:hAnsi="Courier New"/>
          <w:sz w:val="17"/>
        </w:rPr>
        <w:t xml:space="preserve">6.4    4.1    II und III    Abfälle, die entzündbare feste Stoffe, ätzend enthalten    (E)    II    4.1 + 8    </w:t>
      </w:r>
    </w:p>
    <w:p>
      <w:r>
        <w:rPr>
          <w:rFonts w:ascii="Courier New" w:hAnsi="Courier New"/>
          <w:sz w:val="17"/>
        </w:rPr>
        <w:t xml:space="preserve">6.5    4.2    II und III    Gebrauchte Putztücher, Putzwolle und ähnliche Abfälle, nicht giftig, nicht ätzend, die mit selbstentzündlichen Stoffen verunreinigt sind, z. B. bestimmte Öle und Fette    (D/E)    II    4.2    </w:t>
      </w:r>
    </w:p>
    <w:p>
      <w:r>
        <w:rPr>
          <w:rFonts w:ascii="Courier New" w:hAnsi="Courier New"/>
          <w:sz w:val="17"/>
        </w:rPr>
        <w:t xml:space="preserve">            Selbsterhitzungsfähige organische feste Stoffe, nicht giftig, nicht ätzend, z. B. körnige oder poröse brennbare Stoffe, die mit der Selbstoxidation unterliegenden Bestandteilen getränkt oder verunreinigt sind, z. B. mit Leinöl, Leinölfirnisse, Firnisse aus anderen analogen Ölen, Petroleumrückstände                </w:t>
      </w:r>
    </w:p>
    <w:p>
      <w:r>
        <w:rPr>
          <w:rFonts w:ascii="Courier New" w:hAnsi="Courier New"/>
          <w:sz w:val="17"/>
        </w:rPr>
        <w:t xml:space="preserve">6.6    4.2    II und III    Abfälle, die Metalle oder Metall-Legierungen, pulverförmig oder in anderer selbstentzündlicher Form enthalten    (D/E)    II    4.2    </w:t>
      </w:r>
    </w:p>
    <w:p>
      <w:r>
        <w:rPr>
          <w:rFonts w:ascii="Courier New" w:hAnsi="Courier New"/>
          <w:sz w:val="17"/>
        </w:rPr>
        <w:t xml:space="preserve">6.7    4.2    II und III    Abfälle, die feste selbsterhitzungsfähige Stoffe, giftig enthalten    (D/E)    II    4.2 + 6.1    </w:t>
      </w:r>
    </w:p>
    <w:p>
      <w:r>
        <w:rPr>
          <w:rFonts w:ascii="Courier New" w:hAnsi="Courier New"/>
          <w:sz w:val="17"/>
        </w:rPr>
        <w:t xml:space="preserve">6.8    4.2    II und III    Abfälle, die feste selbsterhitzungsfähige Stoffe, ätzend enthalten    (D/E)    II    4.2 + 8    </w:t>
      </w:r>
    </w:p>
    <w:p>
      <w:r>
        <w:rPr>
          <w:rFonts w:ascii="Courier New" w:hAnsi="Courier New"/>
          <w:sz w:val="17"/>
        </w:rPr>
        <w:t xml:space="preserve">6.9    4.2    II und III    Sulfide, Hydrogensulfide und Dithionite, wie Natriumdithionit und Zubereitungen, z. B. Textilentfärber und selbsterhitzungsfähige anorganische feste Stoffe, nicht giftig, nicht ätzend    (D/E)    II    4.2    </w:t>
      </w:r>
    </w:p>
    <w:p>
      <w:r>
        <w:rPr>
          <w:rFonts w:ascii="Courier New" w:hAnsi="Courier New"/>
          <w:sz w:val="17"/>
        </w:rPr>
        <w:t xml:space="preserve">6.10    4.3    II und III    Abfälle, die Metalle oder Metall-Legierungen, pulverförmig oder in anderer Form enthalten und die mit Wasser entzündbare Gase entwickeln    (D/E)    II    4.3    </w:t>
      </w:r>
    </w:p>
    <w:p>
      <w:r>
        <w:rPr>
          <w:rFonts w:ascii="Courier New" w:hAnsi="Courier New"/>
          <w:sz w:val="17"/>
        </w:rPr>
        <w:t xml:space="preserve">7.1    4.3    I und II    Metallcarbide und Metallnitride, wie Calciumcarbid, Aluminiumcarbid    (B/E)    I    4.3    </w:t>
      </w:r>
    </w:p>
    <w:p>
      <w:r>
        <w:rPr>
          <w:rFonts w:ascii="Courier New" w:hAnsi="Courier New"/>
          <w:sz w:val="17"/>
        </w:rPr>
        <w:t xml:space="preserve">7.2    4.3    I    Metallphosphide, giftig, wie Calciumphosphid, Aluminiumphosphid    (B/E)    I    4.3 + 6.1    </w:t>
      </w:r>
    </w:p>
    <w:p>
      <w:r>
        <w:rPr>
          <w:rFonts w:ascii="Courier New" w:hAnsi="Courier New"/>
          <w:sz w:val="17"/>
        </w:rPr>
        <w:t xml:space="preserve">7.3    6.1    I    Phosphidhaltige feste Pflanzenschutz- und Schädlingsbekämpfungsmittel    (C/E)    I    6.1    </w:t>
      </w:r>
    </w:p>
    <w:p>
      <w:r>
        <w:rPr>
          <w:rFonts w:ascii="Courier New" w:hAnsi="Courier New"/>
          <w:sz w:val="17"/>
        </w:rPr>
        <w:t xml:space="preserve">8.1    5.1    II und III    Abfälle, die entzündend (oxidierend) wirkende Chlorite oder Hypochlorite enthalten, wie feste Schwimmbadchlorierungsmittel mit Natriumchlorit, Kaliumchlorit, Calciumhypochlorit oder Mischungen von Chloriten    (E)    II    5.1    Salpetersäure, 55 %</w:t>
      </w:r>
    </w:p>
    <w:p>
      <w:r>
        <w:rPr>
          <w:rFonts w:ascii="Courier New" w:hAnsi="Courier New"/>
          <w:sz w:val="17"/>
        </w:rPr>
        <w:t xml:space="preserve">            Bem. 1: Lösungen von Schwimmbadchlorierungsmitteln siehe Abfallgruppe 14.                </w:t>
      </w:r>
    </w:p>
    <w:p>
      <w:r>
        <w:rPr>
          <w:rFonts w:ascii="Courier New" w:hAnsi="Courier New"/>
          <w:sz w:val="17"/>
        </w:rPr>
        <w:t xml:space="preserve">            Bem. 2: Chlorit- und Hypochloritmischungen mit einem Ammoniumsalz sind zur Beförderung nicht zugelassen.                </w:t>
      </w:r>
    </w:p>
    <w:p>
      <w:r>
        <w:rPr>
          <w:rFonts w:ascii="Courier New" w:hAnsi="Courier New"/>
          <w:sz w:val="17"/>
        </w:rPr>
        <w:t xml:space="preserve">8.2    5.1    II und III    Abfälle, die entzündend (oxidierend) wirkende Stoffe, fest, giftig enthalten    (E)    II    5.1 + 6.1    </w:t>
      </w:r>
    </w:p>
    <w:p>
      <w:r>
        <w:rPr>
          <w:rFonts w:ascii="Courier New" w:hAnsi="Courier New"/>
          <w:sz w:val="17"/>
        </w:rPr>
        <w:t xml:space="preserve">8.3    5.1    II und III    Abfälle, die entzündend (oxidierend) wirkende Stoffe, fest, ätzend enthalten    (E)    II    5.1 + 8    </w:t>
      </w:r>
    </w:p>
    <w:p>
      <w:r>
        <w:rPr>
          <w:rFonts w:ascii="Courier New" w:hAnsi="Courier New"/>
          <w:sz w:val="17"/>
        </w:rPr>
        <w:t xml:space="preserve">8.4    5.2    II    Pastenförmige Abfälle mit Dibenzoylperoxid, Dicumylperoxid der UN 3104, UN 3106, UN 3108 oder UN 3110 in Dosen und Tuben, z. B. Härter für Polyesterharze    (D)    II    5.2    </w:t>
      </w:r>
    </w:p>
    <w:p>
      <w:r>
        <w:rPr>
          <w:rFonts w:ascii="Courier New" w:hAnsi="Courier New"/>
          <w:sz w:val="17"/>
        </w:rPr>
        <w:t xml:space="preserve">9.1    6.1    I bis III    Abfälle, fest oder flüssig, mit Quecksilberverbindungen    (C/E)    I    6.1    Netzmittellösung</w:t>
      </w:r>
    </w:p>
    <w:p>
      <w:r>
        <w:rPr>
          <w:rFonts w:ascii="Courier New" w:hAnsi="Courier New"/>
          <w:sz w:val="17"/>
        </w:rPr>
        <w:t xml:space="preserve">9.2    8    III    Abfälle, die metallisches Quecksilber enthalten    (E)    III    8    </w:t>
      </w:r>
    </w:p>
    <w:p>
      <w:r>
        <w:rPr>
          <w:rFonts w:ascii="Courier New" w:hAnsi="Courier New"/>
          <w:sz w:val="17"/>
        </w:rPr>
        <w:t xml:space="preserve">            Bem.: Dieser Gruppe dürfen auch Gegenstände mit Quecksilber beigegeben werden.                </w:t>
      </w:r>
    </w:p>
    <w:p>
      <w:r>
        <w:rPr>
          <w:rFonts w:ascii="Courier New" w:hAnsi="Courier New"/>
          <w:sz w:val="17"/>
        </w:rPr>
        <w:t xml:space="preserve">9.3    6.1    I bis III    Abfälle mit Cyanidgehalt, z. B. Gold- und Silberputzmittel    (C/E)    I    6.1    </w:t>
      </w:r>
    </w:p>
    <w:p>
      <w:r>
        <w:rPr>
          <w:rFonts w:ascii="Courier New" w:hAnsi="Courier New"/>
          <w:sz w:val="17"/>
        </w:rPr>
        <w:t xml:space="preserve">9.4    6.1    I bis III    Feste und flüssige Abfälle mit giftigen Stoffen, nicht ätzend und nicht entzündbar    (C/E)    I    6.1    </w:t>
      </w:r>
    </w:p>
    <w:p>
      <w:r>
        <w:rPr>
          <w:rFonts w:ascii="Courier New" w:hAnsi="Courier New"/>
          <w:sz w:val="17"/>
        </w:rPr>
        <w:t xml:space="preserve">9.5    6.1    I bis III    Feste und flüssige Abfälle mit giftigen Stoffen, ätzend    (C/E)    I    6.1 + 8    </w:t>
      </w:r>
    </w:p>
    <w:p>
      <w:r>
        <w:rPr>
          <w:rFonts w:ascii="Courier New" w:hAnsi="Courier New"/>
          <w:sz w:val="17"/>
        </w:rPr>
        <w:t xml:space="preserve">9.6    6.1    I und II    Feste und flüssige Abfälle mit organischen giftigen Stoffen, entzündbar    (C/D)    I    6.1 + 3    </w:t>
      </w:r>
    </w:p>
    <w:p>
      <w:r>
        <w:rPr>
          <w:rFonts w:ascii="Courier New" w:hAnsi="Courier New"/>
          <w:sz w:val="17"/>
        </w:rPr>
        <w:t xml:space="preserve">9.7    6.1    I bis III    Feste und flüssige Pflanzenschutz- und Schädlingsbekämpfungsmittel, ausgenommen solche der Abfallgruppe 7    (C/E)    I    6.1    </w:t>
      </w:r>
    </w:p>
    <w:p>
      <w:r>
        <w:rPr>
          <w:rFonts w:ascii="Courier New" w:hAnsi="Courier New"/>
          <w:sz w:val="17"/>
        </w:rPr>
        <w:t xml:space="preserve">10.1    8    II I und II II    Abfälle mit Salpetersäure (UN 2031), Nitriersäuremischungen (UN 1796 und UN 1826) und/oder Perchlorsäure (UN 1802), z. B. bestimmte Reinigungsmittel    (E)    I    8    Salpetersäure, 55 %, Netzmittellösung</w:t>
      </w:r>
    </w:p>
    <w:p>
      <w:r>
        <w:rPr>
          <w:rFonts w:ascii="Courier New" w:hAnsi="Courier New"/>
          <w:sz w:val="17"/>
        </w:rPr>
        <w:t xml:space="preserve">            Bem. 1: Mischungen aus Salpetersäure und Salzsäure der UN 1798 sind zur Beförderung nicht zugelassen.                </w:t>
      </w:r>
    </w:p>
    <w:p>
      <w:r>
        <w:rPr>
          <w:rFonts w:ascii="Courier New" w:hAnsi="Courier New"/>
          <w:sz w:val="17"/>
        </w:rPr>
        <w:t xml:space="preserve">            Bem. 2: Chemisch instabile Nitriersäuremischungen, nicht denitriert, sind zur Beförderung nicht zugelassen.                </w:t>
      </w:r>
    </w:p>
    <w:p>
      <w:r>
        <w:rPr>
          <w:rFonts w:ascii="Courier New" w:hAnsi="Courier New"/>
          <w:sz w:val="17"/>
        </w:rPr>
        <w:t xml:space="preserve">            Bem. 3: Perchlorsäure, wässerige Lösungen mit mehr als 72 Masse-% reiner Säure, sind zur Beförderung nicht zugelassen.                </w:t>
      </w:r>
    </w:p>
    <w:p>
      <w:r>
        <w:rPr>
          <w:rFonts w:ascii="Courier New" w:hAnsi="Courier New"/>
          <w:sz w:val="17"/>
        </w:rPr>
        <w:t xml:space="preserve">11.1    8    II    Abfälle mit Schwefelsäure, z. B. bestimmte Reinigungsmittel, Biersteinentfernerpasten, Bleisulfat    (E)    II    8    Netzmittellösung</w:t>
      </w:r>
    </w:p>
    <w:p>
      <w:r>
        <w:rPr>
          <w:rFonts w:ascii="Courier New" w:hAnsi="Courier New"/>
          <w:sz w:val="17"/>
        </w:rPr>
        <w:t xml:space="preserve">            Bem.: Chemisch instabile Mischungen von Abfallschwefelsäure sind zur Beförderung nicht zugelassen.                </w:t>
      </w:r>
    </w:p>
    <w:p>
      <w:r>
        <w:rPr>
          <w:rFonts w:ascii="Courier New" w:hAnsi="Courier New"/>
          <w:sz w:val="17"/>
        </w:rPr>
        <w:t xml:space="preserve">11.2    8    II    Abfälle mit Flusssäurelösungen, z. B. bestimmte Reinigungsmittel    (E)    II    8 + 6.1    </w:t>
      </w:r>
    </w:p>
    <w:p>
      <w:r>
        <w:rPr>
          <w:rFonts w:ascii="Courier New" w:hAnsi="Courier New"/>
          <w:sz w:val="17"/>
        </w:rPr>
        <w:t xml:space="preserve">11.3    8    I bis III    Flüssige Abfälle mit ätzenden, giftigen Stoffen    (C/D)    I    8 + 6.1    </w:t>
      </w:r>
    </w:p>
    <w:p>
      <w:r>
        <w:rPr>
          <w:rFonts w:ascii="Courier New" w:hAnsi="Courier New"/>
          <w:sz w:val="17"/>
        </w:rPr>
        <w:t xml:space="preserve">11.4    8    I bis III    Wässerige Lösungen von Halogenwasserstoffen (ausgenommen Fluorwasserstoff), saure fluorhaltige Stoffe, flüssige Halogenide und andere flüssige halogenierte Stoffe (ausgenommen der Fluorverbindungen, die in Berührung mit feuchter Luft oder Wasser saure Dämpfe entwickeln), flüssige Carbonsäuren und ihre Anhydride, sowie flüssige Halogencarbonsäuren und ihre Anhydride, Alkyl- und Arylsulfonsäuren, Alkylschwefelsäuren und organische Säurehalogenide, wie Salzsäure, Phosphorsäure, Essigsäure, Chlorsulfonsäure, Ameisensäure, Chloressigsäure, Propionsäure, Toluolsulfonsäuren, Thionylchlorid    (E)    I    8    </w:t>
      </w:r>
    </w:p>
    <w:p>
      <w:r>
        <w:rPr>
          <w:rFonts w:ascii="Courier New" w:hAnsi="Courier New"/>
          <w:sz w:val="17"/>
        </w:rPr>
        <w:t xml:space="preserve">12.1    8    I bis III    Feste Halogenide und andere feste halogenierte Stoffe (ausgenommen der Fluorverbindungen, die in Berührung mit feuchter Luft oder Wasser saure Dämpfe entwickeln) und feste Hydrogensulfate, wie Eisentrichlorid, wasserfrei; Zinkchlorid, wasserfrei; Aluminiumchlorid, wasserfrei; Phosphorpentachlorid    (E)    I    8    </w:t>
      </w:r>
    </w:p>
    <w:p>
      <w:r>
        <w:rPr>
          <w:rFonts w:ascii="Courier New" w:hAnsi="Courier New"/>
          <w:sz w:val="17"/>
        </w:rPr>
        <w:t xml:space="preserve">12.2    8    I bis III    Feste Abfälle mit ätzenden, giftigen Stoffen    (E)    I    8 + 6.1    </w:t>
      </w:r>
    </w:p>
    <w:p>
      <w:r>
        <w:rPr>
          <w:rFonts w:ascii="Courier New" w:hAnsi="Courier New"/>
          <w:sz w:val="17"/>
        </w:rPr>
        <w:t xml:space="preserve">13.1    8    III    Abfälle mit wässerigen Ammoniaklösungen mit höchstens 35 % Ammoniak    (E)    III    8    Wasser, Netzmittellösung</w:t>
      </w:r>
    </w:p>
    <w:p>
      <w:r>
        <w:rPr>
          <w:rFonts w:ascii="Courier New" w:hAnsi="Courier New"/>
          <w:sz w:val="17"/>
        </w:rPr>
        <w:t xml:space="preserve">13.2    8    I bis III    Übrige feste und flüssige basische Abfälle (ausgenommen UN 2029), z. B. bestimmte Reinigungsmittel mit Natrium- und/oder Kaliumhydroxid sowie Natronkalk, Brünierungsmittel mit Natrium- und/oder Kaliumsulfid (Geschirrspülmittel oder Entkalker mit Natriummetasilicat, Kalkmilch mit Calciumhydroxid)    (E)    I    8    </w:t>
      </w:r>
    </w:p>
    <w:p>
      <w:r>
        <w:rPr>
          <w:rFonts w:ascii="Courier New" w:hAnsi="Courier New"/>
          <w:sz w:val="17"/>
        </w:rPr>
        <w:t xml:space="preserve">13.3    8    III    Abfälle von Formaldehydlösungen, z. B. bestimmte Reinigungsmittel, Desinfektionsmittel    (E)    III    8    </w:t>
      </w:r>
    </w:p>
    <w:p>
      <w:r>
        <w:rPr>
          <w:rFonts w:ascii="Courier New" w:hAnsi="Courier New"/>
          <w:sz w:val="17"/>
        </w:rPr>
        <w:t xml:space="preserve">14.1    8    II und III    Abfälle mit Chlorit- und Hypochloritlösungen, z. B. bestimmte Chlorbleichlaugen, Lösungen von Schwimmbadchlorierungsmitteln der Abfallgruppe 8    (E)    II    8    Salpetersäure, 55 %, Netzmittellösung</w:t>
      </w:r>
    </w:p>
    <w:p>
      <w:r>
        <w:rPr>
          <w:rFonts w:ascii="Courier New" w:hAnsi="Courier New"/>
          <w:sz w:val="17"/>
        </w:rPr>
        <w:t xml:space="preserve">14.2    5.1    II und III    Abfälle, die entzündend (oxidierend) wirkende flüssige Stoffe enthalten    (E)    II    5.1    </w:t>
      </w:r>
    </w:p>
    <w:p>
      <w:r>
        <w:rPr>
          <w:rFonts w:ascii="Courier New" w:hAnsi="Courier New"/>
          <w:sz w:val="17"/>
        </w:rPr>
        <w:t xml:space="preserve">14.3    5.1    II und III    Abfälle mit Wasserstoffperoxid-Lösungen, z. B. bestimmte Reinigungsmittel, Haarfärbemittel    (E)    II    5.1 + 8    </w:t>
      </w:r>
    </w:p>
    <w:p>
      <w:r>
        <w:rPr>
          <w:rFonts w:ascii="Courier New" w:hAnsi="Courier New"/>
          <w:sz w:val="17"/>
        </w:rPr>
        <w:t xml:space="preserve">14.4    5.1    II und III    Abfälle, die entzündend (oxidierend) wirkende Stoffe, flüssig, giftig enthalten    (E)    II    5.1 + 6.1    </w:t>
      </w:r>
    </w:p>
    <w:p>
      <w:r>
        <w:rPr>
          <w:rFonts w:ascii="Courier New" w:hAnsi="Courier New"/>
          <w:sz w:val="17"/>
        </w:rPr>
        <w:t xml:space="preserve">15.1            Nicht identifizierbare gefährliche Abfälle    (B/E)        Kennzeichnung gemäß 5.2.1.10.1    </w:t>
      </w:r>
    </w:p>
    <w:p>
      <w:r>
        <w:rPr>
          <w:rFonts w:ascii="Courier New" w:hAnsi="Courier New"/>
          <w:sz w:val="17"/>
        </w:rPr>
        <w:t xml:space="preserve">            Bem.: Für diese Abfälle gelten besondere Vorschriften, siehe Nummern 2.6, 2.8 und 4.3 dieser Ausnahme.            Zusätzlich ist auf mindestens 2 Seiten dauerhaft die Aufschrift „Gefahrgut, nicht identifiziert“ anzubringen.    </w:t>
      </w:r>
    </w:p>
    <w:p>
      <w:pPr>
        <w:ind w:left="420"/>
      </w:pPr>
      <w:r>
        <w:t xml:space="preserve">2.5 Sonstige VorschriftenDie Abfälle dürfen bei Sammlungen nur in kleinen Anlieferungsgefäßen bis zu 60 Liter Fassungsraum und 60 Kilogramm Bruttomasse unter Aufsicht einer fachkundigen Person in die Verpackungen und Großpackmittel (IBC) eingegeben werden.Die Abfälle sind in die folgenden Verpackungen zu verpacken, die für feste Stoffe der Verpackungsgruppe I bauartzugelassen sind:</w:t>
      </w:r>
    </w:p>
    <w:p>
      <w:pPr>
        <w:ind w:left="780"/>
      </w:pPr>
      <w:r>
        <w:t xml:space="preserve">a) Fässer oder Kanister aus Kunststoff der Codierung 1H2 oder 3H2,</w:t>
      </w:r>
    </w:p>
    <w:p>
      <w:pPr>
        <w:ind w:left="780"/>
      </w:pPr>
      <w:r>
        <w:t xml:space="preserve">b) Fässer oder Kanister aus Stahl der Codierung 1A2 oder 3A2,</w:t>
      </w:r>
    </w:p>
    <w:p>
      <w:pPr>
        <w:ind w:left="780"/>
      </w:pPr>
      <w:r>
        <w:t xml:space="preserve">c) Kisten aus Stahl oder starren Kunststoffen der Codierung 4A oder 4H2 oder</w:t>
      </w:r>
    </w:p>
    <w:p>
      <w:pPr>
        <w:ind w:left="780"/>
      </w:pPr>
      <w:r>
        <w:t xml:space="preserve">d) zusammengesetzte Verpackungen mit einem dicht anliegenden eingesetzten Innenbehälter aus geeignetem Kunststoff als Innenverpackung und Kisten aus Stahl oder Aluminium der Codierung 4A oder 4B als Außenverpackung.</w:t>
      </w:r>
    </w:p>
    <w:p>
      <w:pPr>
        <w:ind w:left="420"/>
      </w:pPr>
      <w:r>
        <w:t xml:space="preserve">Es sind die Bedingungen für feste Stoffe der Verpackungsgruppe I anzuwenden.Bei der Verwendung von zusammengesetzten Verpackungen mit einer Kiste aus Pappe der Codierung 4GW als Außenverpackung für die Beförderung von Stoffen der Abfallgruppen 1, 6, 7, 8, 9, 12 und 13 müssen folgende Anforderungen erfüllt werden:</w:t>
      </w:r>
    </w:p>
    <w:p>
      <w:pPr>
        <w:ind w:left="780"/>
      </w:pPr>
      <w:r>
        <w:t xml:space="preserve">a) Verwendung einer nassfesten Verklebung für die Wellpappe,</w:t>
      </w:r>
    </w:p>
    <w:p>
      <w:pPr>
        <w:ind w:left="780"/>
      </w:pPr>
      <w:r>
        <w:t xml:space="preserve">b) erfolgreiche Bauartprüfung als zusammengesetzte Verpackung mit Ersatzfüllgut und Originalfüllgut (z. B. Gefäß, klein, mit Gas (Gaspatrone)),</w:t>
      </w:r>
    </w:p>
    <w:p>
      <w:pPr>
        <w:ind w:left="780"/>
      </w:pPr>
      <w:r>
        <w:t xml:space="preserve">c) Bauartprüfung mit der doppelten Nettomasse wie zugelassen,</w:t>
      </w:r>
    </w:p>
    <w:p>
      <w:pPr>
        <w:ind w:left="780"/>
      </w:pPr>
      <w:r>
        <w:t xml:space="preserve">d) zusätzliche Kennzeichnung mit dem Herstellungsmonat,</w:t>
      </w:r>
    </w:p>
    <w:p>
      <w:pPr>
        <w:ind w:left="780"/>
      </w:pPr>
      <w:r>
        <w:t xml:space="preserve">e) Verwendungsbegrenzung der Verpackung auf ein Jahr nach ihrer Herstellung für den einmaligen Transport und</w:t>
      </w:r>
    </w:p>
    <w:p>
      <w:pPr>
        <w:ind w:left="780"/>
      </w:pPr>
      <w:r>
        <w:t xml:space="preserve">f) Bestehen der Permeationsprüfung in Analogie zu Unterabschnitt 6.1.5.7 ADR/RID.</w:t>
      </w:r>
    </w:p>
    <w:p>
      <w:pPr>
        <w:ind w:left="420"/>
      </w:pPr>
      <w:r>
        <w:t xml:space="preserve">Innenverpackungen von zusammengesetzten Verpackungen dürfen die gleiche höchstzulässige Füllmenge wie die Außenverpackung besitzen.</w:t>
      </w:r>
    </w:p>
    <w:p>
      <w:pPr>
        <w:ind w:left="420"/>
      </w:pPr>
      <w:r>
        <w:t xml:space="preserve">2.6 Abfälle der Abfallgruppe 15 sind im jeweiligen Anlieferungsgefäß mit inerten Saug- und Füllstoffen einzusetzen in eine Kiste aus Holz der Codierung 4C1, 4C2, 4D oder 4F, aus Pappe der Codierung 4G, aus starren Kunststoffen der Codierung 4H2, in Säcke aus Kunststofffolie der Codierung 5H4 oder in Fässer aus Kunststoff der Codierung 1H2, die mindestens nach der Verpackungsgruppe II bauartgeprüft, -zugelassen und gekennzeichnet sein müssen. Diese Kisten, Säcke oder Fässer sind einzeln oder zu mehreren in Kisten aus Stahl, Aluminium oder starrem Kunststoff der Codierung 4A, 4B, 4H2 oder in Fässern aus Stahl oder Kunststoff der Codierung 1A2, 1H2, die bauartgeprüft, -zugelassen und gekennzeichnet sind, zu verpacken.</w:t>
      </w:r>
    </w:p>
    <w:p>
      <w:pPr>
        <w:ind w:left="420"/>
      </w:pPr>
      <w:r>
        <w:t xml:space="preserve">2.7 Die Abfälle der Abfallgruppen/Abfalluntergruppen 1, 2.1, 5, 6, 7, 8, 13 und 14 in Anlieferungsgefäßen dürfen auch in Großpackmitteln (IBC) aus Stahl mit abnehmbarem Deckel oder in Kombinations-IBC mit Innenbehältern aus starrem Kunststoff verpackt werden.Außerdem dürfen auch Kombinations-IBC mit Kunststoffinnenbehältern nach Kapitel 6.5 ADR/RID verwendet werden. Diese Großpackmittel (IBC) müssen für feste Stoffe der Verpackungsgruppe II bauartgeprüft, -zugelassen und gekennzeichnet sein.</w:t>
      </w:r>
    </w:p>
    <w:p>
      <w:pPr>
        <w:ind w:left="420"/>
      </w:pPr>
      <w:r>
        <w:t xml:space="preserve">2.8 Die Abfälle der Abfallgruppen/Abfalluntergruppen 2.2, 3, 4, 9, 10, 11, 12 und 15 in Anlieferungsgefäßen dürfen auch in metallenen Großpackmitteln (IBC) der Verpackungsgruppe I verpackt werden.</w:t>
      </w:r>
    </w:p>
    <w:p>
      <w:pPr>
        <w:ind w:left="420"/>
      </w:pPr>
      <w:r>
        <w:t xml:space="preserve">2.9 Die Verschlüsse der Anlieferungsgefäße sind vor der Eingabe in die Verpackungen und Großpackmittel (IBC) auf Dichtheit zu kontrollieren.</w:t>
      </w:r>
    </w:p>
    <w:p>
      <w:pPr>
        <w:ind w:left="420"/>
      </w:pPr>
      <w:r>
        <w:t xml:space="preserve">2.10 Bei zerbrechlichen, beschädigten oder nicht ordnungsgemäß verschlossenen Anlieferungsgefäßen sind inerte Saugstoffe so einzufüllen, dass die Freiräume zwischen den Anlieferungsgefäßen vollständig ausgefüllt sind.</w:t>
      </w:r>
    </w:p>
    <w:p>
      <w:pPr>
        <w:ind w:left="420"/>
      </w:pPr>
      <w:r>
        <w:t xml:space="preserve">2.11 Bei Verpackungen mit W-Codierung (z. B. „1H2W“) müssen die Saugstoffe so bemessen sein, dass sie die gesamte Flüssigkeitsmenge bei einem eventuellen Freiwerden aufsaugen können. Bei festen Abfällen darf stattdessen das Anlieferungsgefäß in einen dicht zu verschließenden Beutel oder Sack aus Kunststofffolie verpackt werden.</w:t>
      </w:r>
    </w:p>
    <w:p>
      <w:pPr>
        <w:ind w:left="420"/>
      </w:pPr>
      <w:r>
        <w:t xml:space="preserve">2.12 (weggefallen)</w:t>
      </w:r>
    </w:p>
    <w:p>
      <w:pPr>
        <w:ind w:left="420"/>
      </w:pPr>
      <w:r>
        <w:t xml:space="preserve">2.13 Abfallfeuerlöscher der Abfalluntergruppe 1.3 dürfen auch in folgenden nicht bauartgeprüften und -zugelassenen Verpackungen befördert werden:Boxpaletten aus Metall oder Kunststoff sowie Gitterboxpaletten, wobei die Palette auch aus Holz bestehen darf.</w:t>
      </w:r>
    </w:p>
    <w:p>
      <w:pPr>
        <w:ind w:left="420"/>
      </w:pPr>
      <w:r>
        <w:t xml:space="preserve">2.14 Die Verpackungen und Großpackmittel (IBC) für Abfälle der Abfallgruppen 1 und 14 müssen mit einer Lüftungseinrichtung nach Unterabschnitt 4.1.1.8 ADR/RID ausgerüstet sein.</w:t>
      </w:r>
    </w:p>
    <w:p>
      <w:pPr>
        <w:ind w:left="420"/>
      </w:pPr>
      <w:r>
        <w:t xml:space="preserve">2.15 Die Stoffe dürfen nur dann mit nicht dem ADR/RID/ADN unterliegenden Gütern zusammengepackt werden, wenn keine gefährlichen Reaktionen entstehen können.Gefährliche Reaktionen sind:</w:t>
      </w:r>
    </w:p>
    <w:p>
      <w:pPr>
        <w:ind w:left="780"/>
      </w:pPr>
      <w:r>
        <w:t xml:space="preserve">a) eine Verbrennung und/oder Entwicklung beträchtlicher Wärme;</w:t>
      </w:r>
    </w:p>
    <w:p>
      <w:pPr>
        <w:ind w:left="780"/>
      </w:pPr>
      <w:r>
        <w:t xml:space="preserve">b) die Entwicklung von entzündbaren und/oder giftigen Gasen;</w:t>
      </w:r>
    </w:p>
    <w:p>
      <w:pPr>
        <w:ind w:left="780"/>
      </w:pPr>
      <w:r>
        <w:t xml:space="preserve">c) die Bildung von ätzenden flüssigen Stoffen;</w:t>
      </w:r>
    </w:p>
    <w:p>
      <w:pPr>
        <w:ind w:left="780"/>
      </w:pPr>
      <w:r>
        <w:t xml:space="preserve">d) die Bildung instabiler Stoffe.</w:t>
      </w:r>
    </w:p>
    <w:p>
      <w:pPr>
        <w:ind w:left="420"/>
      </w:pPr>
      <w:r>
        <w:t xml:space="preserve">3 Verantwortlichkeiten</w:t>
      </w:r>
    </w:p>
    <w:p>
      <w:pPr>
        <w:ind w:left="420"/>
      </w:pPr>
      <w:r>
        <w:t xml:space="preserve">3.1 Bei Abfallsammelaktionen hat eine fachkundige Aufsichtsperson die Pflichten nach den §§ 18, 21 und 22 der GGVSEB zu erfüllen.</w:t>
      </w:r>
    </w:p>
    <w:p>
      <w:pPr>
        <w:ind w:left="420"/>
      </w:pPr>
      <w:r>
        <w:t xml:space="preserve">3.2 Die fachkundige Aufsichtsperson muss in der Lage sein,</w:t>
      </w:r>
    </w:p>
    <w:p>
      <w:pPr>
        <w:ind w:left="780"/>
      </w:pPr>
      <w:r>
        <w:t xml:space="preserve">a) die Abfälle nach ihren gefährlichen Eigenschaften sowie im Hinblick auf Maßnahmen bei Zwischenfällen oder Unfällen zu beurteilen und</w:t>
      </w:r>
    </w:p>
    <w:p>
      <w:pPr>
        <w:ind w:left="780"/>
      </w:pPr>
      <w:r>
        <w:t xml:space="preserve">b) die Vorschriften dieser Ausnahme und der GGVSEB anzuwenden.</w:t>
      </w:r>
    </w:p>
    <w:p>
      <w:pPr>
        <w:ind w:left="420"/>
      </w:pPr>
      <w:r>
        <w:t xml:space="preserve">3.3 Bei der Eisenbahnbeförderung hat der Verlader nach § 21 Absatz 3 der GGVSEB die Güterwagen – entsprechend der verladenen Güter – auf beiden Längsseiten mit den zutreffenden Großzetteln (Placards) nach der Spalte 7 der Tabelle in Nummer 2.4 und zusätzlich mit einem Rangierzettel nach Muster 13 nach Unterabschnitt 5.3.4.2 RID zu versehen.</w:t>
      </w:r>
    </w:p>
    <w:p>
      <w:pPr>
        <w:ind w:left="420"/>
      </w:pPr>
      <w:r>
        <w:t xml:space="preserve">4 Sonstige Vorschriften</w:t>
      </w:r>
    </w:p>
    <w:p>
      <w:pPr>
        <w:ind w:left="420"/>
      </w:pPr>
      <w:r>
        <w:t xml:space="preserve">4.1 Die Versandstücke sind im Eisenbahnverkehr als Wagenladung mit gedeckten Wagen oder in Containern und im Straßenverkehr mit gedeckten oder bedeckten Fahrzeugen oder in Containern sowie im Binnenschiffsverkehr in Containern mit Schiffen mit wetterdicht schließenden Luken unter ausreichender Belüftung zu befördern.</w:t>
      </w:r>
    </w:p>
    <w:p>
      <w:pPr>
        <w:ind w:left="420"/>
      </w:pPr>
      <w:r>
        <w:t xml:space="preserve">4.2 Versandstücke der Codierungen 1A2, 1H2, 3A2, 3H2, 4A, 4B, 4H2, 11A und 11HZ1 dürfen im Straßenverkehr auch mit offenen Fahrzeugen befördert werden. Zur Ladungssicherung sind hierbei genau passende Gestelle und Vorrichtungen für die Versandstücke zu verwenden.</w:t>
      </w:r>
    </w:p>
    <w:p>
      <w:pPr>
        <w:ind w:left="420"/>
      </w:pPr>
      <w:r>
        <w:t xml:space="preserve">4.3 Versandstücke mit Abfällen der Abfallgruppe 15 sind abseits, das heißt nicht über, nicht unter und nicht unmittelbar neben den übrigen Versandstücken zu stauen und zu sichern.</w:t>
      </w:r>
    </w:p>
    <w:p>
      <w:pPr>
        <w:ind w:left="420"/>
      </w:pPr>
      <w:r>
        <w:t xml:space="preserve">4.4 Die Versandstücke sind so zu sichern, dass sie nicht verrutschen, verkanten, umfallen oder durch andere Versandstücke oder Gegenstände beschädigt werden können.</w:t>
      </w:r>
    </w:p>
    <w:p>
      <w:pPr>
        <w:ind w:left="420"/>
      </w:pPr>
      <w:r>
        <w:t xml:space="preserve">4.5 Beförderungen nach dieser Ausnahme müssen spätestens sechs Monate nach Befüllung der Verpackungen und Großpackmittel (IBC) abgeschlossen sein.</w:t>
      </w:r>
    </w:p>
    <w:p>
      <w:pPr>
        <w:ind w:left="420"/>
      </w:pPr>
      <w:r>
        <w:t xml:space="preserve">4.6 Ungereinigte leere Verpackungen (Anlieferungsgefäße) sind wie die Stoffe zu behandeln, deren Reste in ihnen enthalten sind.</w:t>
      </w:r>
    </w:p>
    <w:p>
      <w:pPr>
        <w:ind w:left="420"/>
      </w:pPr>
      <w:r>
        <w:t xml:space="preserve">5 BeförderungspapierIm Beförderungspapier sind anzugeben:</w:t>
      </w:r>
    </w:p>
    <w:p>
      <w:pPr>
        <w:ind w:left="780"/>
      </w:pPr>
      <w:r>
        <w:t xml:space="preserve">a) Name und Anschrift des Absenders und Empfängers,</w:t>
      </w:r>
    </w:p>
    <w:p>
      <w:pPr>
        <w:ind w:left="780"/>
      </w:pPr>
      <w:r>
        <w:t xml:space="preserve">b) als Bezeichnung des Gutes:</w:t>
      </w:r>
    </w:p>
    <w:p>
      <w:pPr>
        <w:ind w:left="1140"/>
      </w:pPr>
      <w:r>
        <w:t xml:space="preserve">– Abfallgruppe(n) &lt;&lt;…&gt;&gt;</w:t>
      </w:r>
    </w:p>
    <w:p>
      <w:pPr>
        <w:ind w:left="1140"/>
      </w:pPr>
      <w:r>
        <w:t xml:space="preserve">– Nummern der Gefahrzettelmuster &lt;&lt;…&gt;&gt;</w:t>
      </w:r>
    </w:p>
    <w:p>
      <w:pPr>
        <w:ind w:left="1140"/>
      </w:pPr>
      <w:r>
        <w:t xml:space="preserve">– Verpackungsgruppe oder Klassifizierungscode &lt;&lt;…&gt;&gt;</w:t>
      </w:r>
    </w:p>
    <w:p>
      <w:pPr>
        <w:ind w:left="1140"/>
      </w:pPr>
      <w:r>
        <w:t xml:space="preserve">– Tunnelbeschränkungscode &lt;&lt;…&gt;&gt; Bem.: Sofern nach Absatz 5.4.1.1.1 Buchstabe k ADR erforderlich.</w:t>
      </w:r>
    </w:p>
    <w:p>
      <w:pPr>
        <w:ind w:left="1140"/>
      </w:pPr>
      <w:r>
        <w:t xml:space="preserve">– Anzahl der Versandstücke und</w:t>
      </w:r>
    </w:p>
    <w:p>
      <w:pPr>
        <w:ind w:left="1140"/>
      </w:pPr>
      <w:r>
        <w:t xml:space="preserve">– Beschreibung der Versandstücke</w:t>
      </w:r>
    </w:p>
    <w:p>
      <w:pPr>
        <w:ind w:left="780"/>
      </w:pPr>
      <w:r>
        <w:t xml:space="preserve">Anstelle von „&lt;&lt;…&gt;&gt;“ sind die entsprechenden Angaben gemäß der Tabelle in Nummer 2.4 einzutragen. Die Verpackungsgruppe ist hierbei der Spalte 6 zu entnehmen.</w:t>
      </w:r>
    </w:p>
    <w:p>
      <w:pPr>
        <w:ind w:left="780"/>
      </w:pPr>
      <w:r>
        <w:t xml:space="preserve">c) Zusätzlich ist zu vermerken: „Ausnahme 20“.</w:t>
      </w:r>
    </w:p>
    <w:p>
      <w:pPr>
        <w:ind w:left="420"/>
      </w:pPr>
      <w:r>
        <w:t xml:space="preserve">6 BefristungDie Ausnahme 20 ist bis zum 30. Juni 2027 befristet.</w:t>
      </w:r>
    </w:p>
    <w:p>
      <w:r>
        <w:t xml:space="preserve">Ausnahme 21 (B, E, S)Zusammenpacken von Patronen mit Waffenpflegemitteln</w:t>
      </w:r>
    </w:p>
    <w:p>
      <w:pPr>
        <w:ind w:left="420"/>
      </w:pPr>
      <w:r>
        <w:t xml:space="preserve">1 Zusammenpackungszulassung</w:t>
      </w:r>
    </w:p>
    <w:p>
      <w:pPr>
        <w:ind w:left="420"/>
      </w:pPr>
      <w:r>
        <w:t xml:space="preserve">1.1 Abweichend von § 1 Absatz 3 Nummern 1 bis 3 der GGVSEB in Verbindung mit Unterabschnitt 4.1.10.4 MP 23 ADR/RID und Kapitel 4.1 ADN dürfen</w:t>
      </w:r>
    </w:p>
    <w:p>
      <w:pPr>
        <w:ind w:left="780"/>
      </w:pPr>
      <w:r>
        <w:t xml:space="preserve">a) Gegenstände mit Explosivstoff der Klassifizierung 1.4S, UN 0012, UN 0014 und UN 0323 mit UN 1950 Druckgaspackungen der Klasse 2, Klassifizierungscode 5A, 5F, 5O, 5T, 5TC, 5TF, 5TFC, 5TO und 5TOC, Kohlenwasserstoffen und deren Gemische der Klasse 3, UN 1136, UN 1147, UN 1288, UN 1299, UN 1300, UN 1307, UN 1918, UN 1920, UN 1999, UN 2046, UN 2048, UN 2049, UN 2052, UN 2055, UN 2057, UN 2247, UN 2286, UN 2303, UN 2319, UN 2324, UN 2325, UN 2330, UN 2364, UN 2368, UN 2520, UN 2541, UN 2618, UN 2709, UN 2850 und UN 3295 sowie UN 2831 1,1,1-Trichlorethan der Klasse 6.1 in der in Nummer 2.1 beschriebenen Verpackung zusammengepackt werden.</w:t>
      </w:r>
    </w:p>
    <w:p>
      <w:pPr>
        <w:ind w:left="780"/>
      </w:pPr>
      <w:r>
        <w:t xml:space="preserve">b) Gegenstände mit Explosivstoff der Klassifizierung 1.4S, UN 0012, UN 0014 und UN 0323 mit nicht der GGVSEB unterliegenden Gütern in der in Nummer 2.1 beschriebenen Verpackung zusammengepackt werden.</w:t>
      </w:r>
    </w:p>
    <w:p>
      <w:pPr>
        <w:ind w:left="420"/>
      </w:pPr>
      <w:r>
        <w:t xml:space="preserve">1.2 Die Mengengrenzen in Unterabschnitt 4.1.10.4 MP 7, MP 17 und MP 19 ADR/RID sind bei Beförderungen nach dieser Ausnahme zu beachten.</w:t>
      </w:r>
    </w:p>
    <w:p>
      <w:pPr>
        <w:ind w:left="420"/>
      </w:pPr>
      <w:r>
        <w:t xml:space="preserve">1.3 Die nach Nummer 1.1 zusammengepackten Stoffe und Gegenstände dürfen ohne besondere Mengenbegrenzung mit einem Binnenschiff, in einem Eisenbahnwagen oder in einem Straßenfahrzeug befördert werden.</w:t>
      </w:r>
    </w:p>
    <w:p>
      <w:pPr>
        <w:ind w:left="420"/>
      </w:pPr>
      <w:r>
        <w:t xml:space="preserve">2 Verpackung</w:t>
      </w:r>
    </w:p>
    <w:p>
      <w:pPr>
        <w:ind w:left="420"/>
      </w:pPr>
      <w:r>
        <w:t xml:space="preserve">2.1 Als Außenverpackung sind Kisten aus Stahl der Codierung 4A, Kisten aus Aluminium der Codierung 4B, Kisten aus Holz der Codierungen 4C1, 4C2, 4D oder 4F oder Kisten aus Pappe der Codierung 4G zu verwenden.</w:t>
      </w:r>
    </w:p>
    <w:p>
      <w:pPr>
        <w:ind w:left="420"/>
      </w:pPr>
      <w:r>
        <w:t xml:space="preserve">2.2 BauartprüfungBei der Bauartprüfung sind die Vorschriften für feste Stoffe der Verpackungsgruppe II anzuwenden.</w:t>
      </w:r>
    </w:p>
    <w:p>
      <w:pPr>
        <w:ind w:left="420"/>
      </w:pPr>
      <w:r>
        <w:t xml:space="preserve">3 Sonstige VorschriftenEin Versandstück darf nicht schwerer als 100 Kilogramm sein.</w:t>
      </w:r>
    </w:p>
    <w:p>
      <w:pPr>
        <w:ind w:left="420"/>
      </w:pPr>
      <w:r>
        <w:t xml:space="preserve">4 Angaben im BeförderungspapierZusätzlich zu den sonst vorgeschriebenen Angaben ist zu vermerken:„Ausnahme 21“.</w:t>
      </w:r>
    </w:p>
    <w:p>
      <w:pPr>
        <w:ind w:left="420"/>
      </w:pPr>
      <w:r>
        <w:t xml:space="preserve">5 BefristungDie Ausnahme 21 ist bis zum 30. Juni 2027 befristet.</w:t>
      </w:r>
    </w:p>
    <w:p>
      <w:r>
        <w:t xml:space="preserve">Ausnahme 22 (E, S)Saug-Druck-Tanks</w:t>
      </w:r>
    </w:p>
    <w:p>
      <w:pPr>
        <w:ind w:left="420"/>
      </w:pPr>
      <w:r>
        <w:t xml:space="preserve">1 Abweichend von § 1 Absatz 3 Nummer 1 und 2 der GGVSEB in Verbindung mit Kapitel 6.10 ADR/RID dürfen gefährliche Güter der Klassen 3, 4.1, 5.1, 6.1, 8 und 9</w:t>
      </w:r>
    </w:p>
    <w:p>
      <w:pPr>
        <w:ind w:left="780"/>
      </w:pPr>
      <w:r>
        <w:t xml:space="preserve">a) in festverbundenen Tanks (Tankfahrzeugen),</w:t>
      </w:r>
    </w:p>
    <w:p>
      <w:pPr>
        <w:ind w:left="780"/>
      </w:pPr>
      <w:r>
        <w:t xml:space="preserve">b) in Aufsetztanks,</w:t>
      </w:r>
    </w:p>
    <w:p>
      <w:pPr>
        <w:ind w:left="780"/>
      </w:pPr>
      <w:r>
        <w:t xml:space="preserve">c) in Tankcontainern,</w:t>
      </w:r>
    </w:p>
    <w:p>
      <w:pPr>
        <w:ind w:left="420"/>
      </w:pPr>
      <w:r>
        <w:t xml:space="preserve">die als Saug-Druck-Tanks nach der Gefahrgutverordnung Straße vom 12. Dezember 1996 (BGBl. I S. 1886) in Verbindung mit Anhang B.1a oder B.1b der Anlage B zum ADR in der Fassung der 13. ADR-Änderungsverordnung vom 17. Juli 1996 (BGBl. 1996 II S. 1178) und in Verbindung mit der Ausnahme Nr. 63 der GGAV vom 23. Juni 1993 zugelassen worden sind, weiterhin befördert werden.Die Beförderung ist auf die Stoffe begrenzt, denen in Kapitel 3.2 Tabelle A Spalte 12 ADR/RID die Tankcodierung L4BH oder S4AH oder eine andere gemäß der Hierarchie in Absatz 4.3.4.1.2 ADR/RID zugelassene Tankcodierung zugeordnet ist. Die für bestimmte Stoffe in Kapitel 3.2 Tabelle A Spalte 13 ADR/RID aufgeführten Sondervorschriften sind, soweit zutreffend, einzuhalten.</w:t>
      </w:r>
    </w:p>
    <w:p>
      <w:pPr>
        <w:ind w:left="420"/>
      </w:pPr>
      <w:r>
        <w:t xml:space="preserve">2 Sonstige Vorschriften</w:t>
      </w:r>
    </w:p>
    <w:p>
      <w:pPr>
        <w:ind w:left="780"/>
      </w:pPr>
      <w:r>
        <w:t xml:space="preserve">a) Bei Beförderung von Stoffen mit einem Flammpunkt von höchstens 60 Grad Celsius und solchen, die auf oder über ihren Flammpunkt erwärmt verladen oder befördert werden, darf eine Vermischung mit entzündend (oxidierend) wirkenden Stoffen nicht erfolgen.</w:t>
      </w:r>
    </w:p>
    <w:p>
      <w:pPr>
        <w:ind w:left="780"/>
      </w:pPr>
      <w:r>
        <w:t xml:space="preserve">b) Die Tanks sind nach jeder Benutzung zu reinigen und vor der erneuten Befüllung auf Schäden zu untersuchen. Dies gilt auch für die Armaturen und Dichtungen. Werden in festverbundenen Tanks und Aufsetztanks bei aufeinanderfolgenden Beförderungen die gleichen Stoffe befördert, sind die Tanks nach der ersten Beförderung und danach in Abständen von längstens sieben Tagen zu reinigen und zu untersuchen.</w:t>
      </w:r>
    </w:p>
    <w:p>
      <w:pPr>
        <w:ind w:left="420"/>
      </w:pPr>
      <w:r>
        <w:t xml:space="preserve">3 Angaben in der ADR-Zulassungsbescheinigung, im Prüfbericht und im BeförderungspapierIn der ADR-Zulassungsbescheinigung für Tankfahrzeuge nach Unterabschnitt 9.1.3.1 ADR ist unter Nummer 11 Bemerkungen anzugeben: „Ausnahme 22“. In den Prüfbescheinigungen für festverbundene Tanks, Aufsetztanks und Tankcontainer nach Absatz 6.8.2.4.5 ADR/RID ist zusätzlich zu vermerken: „Ausnahme 22“.Bei Beförderungen in Tankcontainern ist im Beförderungspapier nach Abschnitt 5.4.1 ADR/RID zusätzlich zu vermerken: „Ausnahme 22“.</w:t>
      </w:r>
    </w:p>
    <w:p>
      <w:r>
        <w:t xml:space="preserve">Ausnahme 23</w:t>
      </w:r>
    </w:p>
    <w:p>
      <w:r>
        <w:t xml:space="preserve">– offen –</w:t>
      </w:r>
    </w:p>
    <w:p>
      <w:r>
        <w:t xml:space="preserve">Ausnahme 24 (S)Beförderung von ungereinigten leeren Eichnormalen</w:t>
      </w:r>
    </w:p>
    <w:p>
      <w:pPr>
        <w:ind w:left="420"/>
      </w:pPr>
      <w:r>
        <w:t xml:space="preserve">1 Abweichend von § 1 Absatz 3 Nummer 1 der GGVSEB in Verbindung mit den Vorschriften des ADR</w:t>
      </w:r>
    </w:p>
    <w:p>
      <w:pPr>
        <w:ind w:left="780"/>
      </w:pPr>
      <w:r>
        <w:t xml:space="preserve">a) für die Klasse 2, UN 1011 BUTAN, UN 1012 BUT-1-EN, UN 1077 PROPEN, UN 1965 KOHLENWASSERSTOFFGAS, GEMISCH, VERFLÜSSIGT, N.A.G. (Gemisch A, A 01, A 02, A 0, A 1, B 1, B 2, B oder C), UN 1969 ISOBUTAN, UN 1971 METHAN, VERDICHTET oder ERDGAS, VERDICHTET, UN 1972 METHAN, TIEFGEKÜHLT, FLÜSSIG oder ERDGAS, TIEFGEKÜHLT, FLÜSSIG und UN 1978 PROPAN,</w:t>
      </w:r>
    </w:p>
    <w:p>
      <w:pPr>
        <w:ind w:left="780"/>
      </w:pPr>
      <w:r>
        <w:t xml:space="preserve">b) für die Klasse 3, Klassifizierungscode F1, Verpackungsgruppe II und III und</w:t>
      </w:r>
    </w:p>
    <w:p>
      <w:pPr>
        <w:ind w:left="780"/>
      </w:pPr>
      <w:r>
        <w:t xml:space="preserve">c) für flüssige Stoffe der Klasse 9</w:t>
      </w:r>
    </w:p>
    <w:p>
      <w:pPr>
        <w:ind w:left="420"/>
      </w:pPr>
      <w:r>
        <w:t xml:space="preserve">dürfen ungereinigte leere Eichnormale unter Einhaltung der nachfolgenden Bestimmungen befördert werden.</w:t>
      </w:r>
    </w:p>
    <w:p>
      <w:pPr>
        <w:ind w:left="420"/>
      </w:pPr>
      <w:r>
        <w:t xml:space="preserve">2 Vorschriften für die Beförderung von ungereinigten leeren Eichnormalen mit einem Fassungsraum von höchstens 1 000 Liter</w:t>
      </w:r>
    </w:p>
    <w:p>
      <w:pPr>
        <w:ind w:left="420"/>
      </w:pPr>
      <w:r>
        <w:t xml:space="preserve">2.1 Die Vorschriften für ungereinigte leere Gefäße der Unterabschnitte 4.1.1.1, 4.1.1.11 und 5.1.3.1 sowie des Absatzes 5.4.1.1.6.2.1 ADR sind einzuhalten.</w:t>
      </w:r>
    </w:p>
    <w:p>
      <w:pPr>
        <w:ind w:left="420"/>
      </w:pPr>
      <w:r>
        <w:t xml:space="preserve">2.2 Ungereinigte leere Eichnormale mit einem Einzelfassungsraum der Gefäße von höchstens 450 Liter gelten als Verpackung im Sinne des Unterabschnitts 1.1.3.1 Buchstabe c ADR.</w:t>
      </w:r>
    </w:p>
    <w:p>
      <w:pPr>
        <w:ind w:left="420"/>
      </w:pPr>
      <w:r>
        <w:t xml:space="preserve">2.3 Schriftliche Weisungen nach Abschnitt 5.4.3 ADR sind bei jeder Beförderung mitzuführen.</w:t>
      </w:r>
    </w:p>
    <w:p>
      <w:pPr>
        <w:ind w:left="420"/>
      </w:pPr>
      <w:r>
        <w:t xml:space="preserve">2.4 Die Eichnormale sind an beiden Seiten deutlich und dauerhaft mit der zutreffenden UN-Nummer, der die Buchstaben „UN“ vorangestellt werden, und mit den zutreffenden Gefahrzetteln nach Absatz 5.2.2.2.2 ADR zu kennzeichnen.</w:t>
      </w:r>
    </w:p>
    <w:p>
      <w:pPr>
        <w:ind w:left="420"/>
      </w:pPr>
      <w:r>
        <w:t xml:space="preserve">2.5 Die Fahrzeuge mit Eichnormalen sind mit orangefarbenen Tafeln nach Absatz 5.3.2.1.1 ADR zu kennzeichnen.</w:t>
      </w:r>
    </w:p>
    <w:p>
      <w:pPr>
        <w:ind w:left="420"/>
      </w:pPr>
      <w:r>
        <w:t xml:space="preserve">2.6 Die Vorschriften des Kapitels 1.3, der Abschnitte 7.5.7, 8.1.1 und 8.1.4, des Unterabschnitts 8.2.1.1 in Verbindung mit 8.2.1.2 sowie der Kapitel 8.3 und 8.5 S2 Absatz 1 ADR sind einzuhalten.</w:t>
      </w:r>
    </w:p>
    <w:p>
      <w:pPr>
        <w:ind w:left="420"/>
      </w:pPr>
      <w:r>
        <w:t xml:space="preserve">3 Vorschriften für die Beförderung von ungereinigten leeren Eichnormalen mit einem Fassungsraum über 1 000 Liter und Fahrzeuge, die ungereinigte leere Eichnormale mit einem Fassungsraum über 1 000 Liter befördern</w:t>
      </w:r>
    </w:p>
    <w:p>
      <w:pPr>
        <w:ind w:left="420"/>
      </w:pPr>
      <w:r>
        <w:t xml:space="preserve">3.1 Die Eichnormale für flüssige Stoffe sind entleert und drucklos und die Eichnormale für Gase sind entleert und mit einem Inertgas beaufschlagt zu befördern. Alle Öffnungen für das Befüllen und für das Entleeren müssen dicht verschlossen sein.</w:t>
      </w:r>
    </w:p>
    <w:p>
      <w:pPr>
        <w:ind w:left="420"/>
      </w:pPr>
      <w:r>
        <w:t xml:space="preserve">3.2 Die Be- und Entlüftungsöffnungen müssen mit einer flammendurchschlagsicheren Armatur ausgerüstet sein.</w:t>
      </w:r>
    </w:p>
    <w:p>
      <w:pPr>
        <w:ind w:left="420"/>
      </w:pPr>
      <w:r>
        <w:t xml:space="preserve">3.3 Schriftliche Weisungen nach Abschnitt 5.4.3 ADR sind bei jeder Beförderung mitzuführen, nicht jedoch die darin aufgeführte Ausrüstung.</w:t>
      </w:r>
    </w:p>
    <w:p>
      <w:pPr>
        <w:ind w:left="420"/>
      </w:pPr>
      <w:r>
        <w:t xml:space="preserve">3.4 Die Eichnormale sind an beiden Seiten deutlich und dauerhaft mit der zutreffenden UN-Nummer, der die Buchstaben „UN“ vorangestellt werden, sowie mit dem Kennzeichen für umweltgefährdende Stoffe nach Absatz 5.2.1.8.3 und mit den zutreffenden Gefahrzetteln nach Absatz 5.2.2.2.2 ADR zu kennzeichnen. Diese Kennzeichnungen sind nicht erforderlich, wenn das Fahrzeug bereits mit Kennzeichnungen nach den Nummern 3.5 und 3.6 versehen ist, und die Eichnormale mit dem Fahrzeug fest verbunden sind.</w:t>
      </w:r>
    </w:p>
    <w:p>
      <w:pPr>
        <w:ind w:left="420"/>
      </w:pPr>
      <w:r>
        <w:t xml:space="preserve">3.5 Die Fahrzeuge mit Eichnormalen mit einem Fassungsraum über 1 000 Liter sind mit dem Kennzeichen für umweltgefährdende Stoffe nach Abschnitt 5.3.6 und mit Großzetteln nach Abschnitt 5.3.1 ADR an beiden Längsseiten und hinten zu versehen.</w:t>
      </w:r>
    </w:p>
    <w:p>
      <w:pPr>
        <w:ind w:left="420"/>
      </w:pPr>
      <w:r>
        <w:t xml:space="preserve">3.6 Die Beförderungseinheiten sind vorn und hinten nach Absatz 5.3.2.1.2 ADR mit orangefarbenen Tafeln mit der Nummer zur Kennzeichnung der Gefahr und der UN-Nummer für den Stoff, der zuletzt in den Eichnormalen enthalten war, zu kennzeichnen.</w:t>
      </w:r>
    </w:p>
    <w:p>
      <w:pPr>
        <w:ind w:left="420"/>
      </w:pPr>
      <w:r>
        <w:t xml:space="preserve">3.7 Die Eichnormale sind erstmalig vor Inbetriebnahme sowie wiederkehrend mindestens alle drei Jahre von einer Stelle nach § 12 der GGVSEB einer äußeren und inneren Prüfung sowie einer Dichtheitsprüfung mit Wasser ohne Überdruck zu unterziehen. Über die Prüfung hat die Überwachungsstelle eine Bescheinigung auszustellen, die bei jeder Beförderung mitzuführen ist.</w:t>
      </w:r>
    </w:p>
    <w:p>
      <w:pPr>
        <w:ind w:left="420"/>
      </w:pPr>
      <w:r>
        <w:t xml:space="preserve">3.8 Zusätzlich zu den Vorschriften nach Nummer 2.6 sind die Vorschriften der Absätze 4.3.2.3.6, 4.3.2.4.1, 4.3.2.4.2, 4.3.4.2.2 und 6.8.2.1.27, des Abschnitts 7.5.10, des Unterabschnitts 8.2.1.1 in Verbindung mit 8.2.1.3, des Kapitels 8.5 S2 Absatz 2 und 3 sowie des Abschnitts 9.7.4 ADR einzuhalten.</w:t>
      </w:r>
    </w:p>
    <w:p>
      <w:pPr>
        <w:ind w:left="420"/>
      </w:pPr>
      <w:r>
        <w:t xml:space="preserve">3.9 Die Fahrzeuge für die Beförderung von Eichnormalen müssen den Bau- und Zulassungsvorschriften für Fahrzeuge FL nach Teil 9 des ADR entsprechen.</w:t>
      </w:r>
    </w:p>
    <w:p>
      <w:pPr>
        <w:ind w:left="420"/>
      </w:pPr>
      <w:r>
        <w:t xml:space="preserve">3.10 In der ADR-Zulassungsbescheinigung nach Unterabschnitt 9.1.3.1 ADR darf unter Nummer 9 auf die Angabe zu den Nummern 9.2, 9.5 und 9.6 verzichtet werden. Unter Nummer 11 ist anzugeben: „Ausnahme 24“.</w:t>
      </w:r>
    </w:p>
    <w:p>
      <w:pPr>
        <w:ind w:left="420"/>
      </w:pPr>
      <w:r>
        <w:t xml:space="preserve">3.11 Die ADR-Zulassungsbescheinigung nach Unterabschnitt 9.1.3.1 ADR ist für jedes Fahrzeug während der Beförderung mitzuführen.</w:t>
      </w:r>
    </w:p>
    <w:p>
      <w:pPr>
        <w:ind w:left="420"/>
      </w:pPr>
      <w:r>
        <w:t xml:space="preserve">4 Sonstige VorschriftenDie übrigen Vorschriften des ADR finden keine Anwendung.</w:t>
      </w:r>
    </w:p>
    <w:p>
      <w:pPr>
        <w:ind w:left="420"/>
      </w:pPr>
      <w:r>
        <w:t xml:space="preserve">5 BefristungDie Ausnahme 24 ist bis zum 30. Juni 2027 befristet.</w:t>
      </w:r>
    </w:p>
    <w:p>
      <w:r>
        <w:t xml:space="preserve">Ausnahme 25</w:t>
      </w:r>
    </w:p>
    <w:p>
      <w:r>
        <w:t xml:space="preserve">– offen –</w:t>
      </w:r>
    </w:p>
    <w:p>
      <w:r>
        <w:t xml:space="preserve">Ausnahme 26</w:t>
      </w:r>
    </w:p>
    <w:p>
      <w:r>
        <w:t xml:space="preserve">– offen –</w:t>
      </w:r>
    </w:p>
    <w:p>
      <w:r>
        <w:t xml:space="preserve">Ausnahme 27</w:t>
      </w:r>
    </w:p>
    <w:p>
      <w:r>
        <w:t xml:space="preserve">– offen –</w:t>
      </w:r>
    </w:p>
    <w:p>
      <w:r>
        <w:t xml:space="preserve">Ausnahme 28 (E, S)Zusammenladung von Automobilteilen der Klassifizierung 1.4G mit gefährlichen Gütern</w:t>
      </w:r>
    </w:p>
    <w:p>
      <w:pPr>
        <w:ind w:left="420"/>
      </w:pPr>
      <w:r>
        <w:t xml:space="preserve">1 Abweichend von § 1 Absatz 3 Nummer 1 und 2 der GGVSEB in Verbindung mit Unterabschnitt 7.5.2.1 ADR/RID dürfen Automobilteile</w:t>
      </w:r>
    </w:p>
    <w:p>
      <w:pPr>
        <w:ind w:left="780"/>
      </w:pPr>
      <w:r>
        <w:t xml:space="preserve">– UN 0431 PYROTECHNISCHE GEGENSTÄNDE für technische Zwecke sowie</w:t>
      </w:r>
    </w:p>
    <w:p>
      <w:pPr>
        <w:ind w:left="780"/>
      </w:pPr>
      <w:r>
        <w:t xml:space="preserve">– UN 0503 SICHERHEITSEINRICHTUNGEN, PYROTECHNISCH</w:t>
      </w:r>
    </w:p>
    <w:p>
      <w:pPr>
        <w:ind w:left="420"/>
      </w:pPr>
      <w:r>
        <w:t xml:space="preserve">der Klasse 1, Klassifizierungscode 1.4G mit den in der nachfolgenden Tabelle dargestellten Gefahrgütern der Klassen 2, 3, 8 und 9 unter Einhaltung der Bedingungen der Nummern 2 bis 6 zusammengeladen werden.</w:t>
      </w:r>
    </w:p>
    <w:p>
      <w:pPr>
        <w:ind w:left="420"/>
      </w:pPr>
      <w:r>
        <w:t xml:space="preserve">2 Tabelle der Gefahrgüter</w:t>
      </w:r>
    </w:p>
    <w:p>
      <w:r>
        <w:rPr>
          <w:rFonts w:ascii="Courier New" w:hAnsi="Courier New"/>
          <w:sz w:val="17"/>
        </w:rPr>
        <w:t xml:space="preserve">UN-Nummer    Benennung und Beschreibung    Klasse/ Klassifizierungs- code    Verpackungs- gruppe    Höchstzulässige Gesamtmenge je Beförderungs- einheit/Wagen/ Container</w:t>
      </w:r>
    </w:p>
    <w:p>
      <w:r>
        <w:rPr>
          <w:rFonts w:ascii="Courier New" w:hAnsi="Courier New"/>
          <w:sz w:val="17"/>
        </w:rPr>
        <w:t xml:space="preserve">1    2    3    4    5</w:t>
      </w:r>
    </w:p>
    <w:p>
      <w:r>
        <w:rPr>
          <w:rFonts w:ascii="Courier New" w:hAnsi="Courier New"/>
          <w:sz w:val="17"/>
        </w:rPr>
        <w:t xml:space="preserve">1090    ACETON    3/F1    II    333 I</w:t>
      </w:r>
    </w:p>
    <w:p>
      <w:r>
        <w:rPr>
          <w:rFonts w:ascii="Courier New" w:hAnsi="Courier New"/>
          <w:sz w:val="17"/>
        </w:rPr>
        <w:t xml:space="preserve">1133    KLEBSTOFFE    3/F1    II und III    333/1 000 I</w:t>
      </w:r>
    </w:p>
    <w:p>
      <w:r>
        <w:rPr>
          <w:rFonts w:ascii="Courier New" w:hAnsi="Courier New"/>
          <w:sz w:val="17"/>
        </w:rPr>
        <w:t xml:space="preserve">1139    SCHUTZANSTRICHLÖSUNG    3/F1    II und III    333/1 000 l</w:t>
      </w:r>
    </w:p>
    <w:p>
      <w:r>
        <w:rPr>
          <w:rFonts w:ascii="Courier New" w:hAnsi="Courier New"/>
          <w:sz w:val="17"/>
        </w:rPr>
        <w:t xml:space="preserve">1170    ETHANOL, LÖSUNG    3/F1    II    333 l</w:t>
      </w:r>
    </w:p>
    <w:p>
      <w:r>
        <w:rPr>
          <w:rFonts w:ascii="Courier New" w:hAnsi="Courier New"/>
          <w:sz w:val="17"/>
        </w:rPr>
        <w:t xml:space="preserve">1173    ETHYLACETAT    3/F1    II    333 l</w:t>
      </w:r>
    </w:p>
    <w:p>
      <w:r>
        <w:rPr>
          <w:rFonts w:ascii="Courier New" w:hAnsi="Courier New"/>
          <w:sz w:val="17"/>
        </w:rPr>
        <w:t xml:space="preserve">1219    ISOPROPANOL (ISOPROPYLALKOHOL)    3/F1    II    333 l</w:t>
      </w:r>
    </w:p>
    <w:p>
      <w:r>
        <w:rPr>
          <w:rFonts w:ascii="Courier New" w:hAnsi="Courier New"/>
          <w:sz w:val="17"/>
        </w:rPr>
        <w:t xml:space="preserve">1263    FARBE oder FARBZUBEHÖRSTOFFE    3/F1    II und III    333/1 000 l</w:t>
      </w:r>
    </w:p>
    <w:p>
      <w:r>
        <w:rPr>
          <w:rFonts w:ascii="Courier New" w:hAnsi="Courier New"/>
          <w:sz w:val="17"/>
        </w:rPr>
        <w:t xml:space="preserve">1268    ERDÖLDESTILLATE, N.A.G. oder ERDÖLPRODUKTE, N.A.G.    3/F1    II    333 l</w:t>
      </w:r>
    </w:p>
    <w:p>
      <w:r>
        <w:rPr>
          <w:rFonts w:ascii="Courier New" w:hAnsi="Courier New"/>
          <w:sz w:val="17"/>
        </w:rPr>
        <w:t xml:space="preserve">1300    TERPENTINÖLERSATZ    3/F1    III    1 000 l</w:t>
      </w:r>
    </w:p>
    <w:p>
      <w:r>
        <w:rPr>
          <w:rFonts w:ascii="Courier New" w:hAnsi="Courier New"/>
          <w:sz w:val="17"/>
        </w:rPr>
        <w:t xml:space="preserve">1805    PHOSPHORSÄURE, LÖSUNG    8/C1    III    1 000 l</w:t>
      </w:r>
    </w:p>
    <w:p>
      <w:r>
        <w:rPr>
          <w:rFonts w:ascii="Courier New" w:hAnsi="Courier New"/>
          <w:sz w:val="17"/>
        </w:rPr>
        <w:t xml:space="preserve">1866    HARZLÖSUNG, entzündbar    3/F1    II und III    333/1 000 l</w:t>
      </w:r>
    </w:p>
    <w:p>
      <w:r>
        <w:rPr>
          <w:rFonts w:ascii="Courier New" w:hAnsi="Courier New"/>
          <w:sz w:val="17"/>
        </w:rPr>
        <w:t xml:space="preserve">1950    DRUCKGASPACKUNGEN, entzündbar, bis max. 1 l Fassungsraum    2/5F    –    333 kg</w:t>
      </w:r>
    </w:p>
    <w:p>
      <w:r>
        <w:rPr>
          <w:rFonts w:ascii="Courier New" w:hAnsi="Courier New"/>
          <w:sz w:val="17"/>
        </w:rPr>
        <w:t xml:space="preserve">1987    ALKOHOLE, N.A.G.    3/F1    III    1 000 l</w:t>
      </w:r>
    </w:p>
    <w:p>
      <w:r>
        <w:rPr>
          <w:rFonts w:ascii="Courier New" w:hAnsi="Courier New"/>
          <w:sz w:val="17"/>
        </w:rPr>
        <w:t xml:space="preserve">1993    ENTZÜNDBARER FLÜSSIGER STOFF, N.A.G.    3/F1    II und III    333/1 000 l</w:t>
      </w:r>
    </w:p>
    <w:p>
      <w:r>
        <w:rPr>
          <w:rFonts w:ascii="Courier New" w:hAnsi="Courier New"/>
          <w:sz w:val="17"/>
        </w:rPr>
        <w:t xml:space="preserve">2735    AMINE, FLÜSSIG, ÄTZEND, N.A.G. oder POLYAMINE, FLÜSSIG, ÄTZEND, N.A.G.    8/C7    III    1 000 l</w:t>
      </w:r>
    </w:p>
    <w:p>
      <w:r>
        <w:rPr>
          <w:rFonts w:ascii="Courier New" w:hAnsi="Courier New"/>
          <w:sz w:val="17"/>
        </w:rPr>
        <w:t xml:space="preserve">2796    SCHWEFELSÄURE mit höchstens 51 % Säure oder BATTERIEFLÜSSIGKEIT, SAUER    8/C1    II    333 l</w:t>
      </w:r>
    </w:p>
    <w:p>
      <w:r>
        <w:rPr>
          <w:rFonts w:ascii="Courier New" w:hAnsi="Courier New"/>
          <w:sz w:val="17"/>
        </w:rPr>
        <w:t xml:space="preserve">2797    BATTERIEFLÜSSIGKEIT, ALKALISCH    8/C5    II    333 l</w:t>
      </w:r>
    </w:p>
    <w:p>
      <w:r>
        <w:rPr>
          <w:rFonts w:ascii="Courier New" w:hAnsi="Courier New"/>
          <w:sz w:val="17"/>
        </w:rPr>
        <w:t xml:space="preserve">3077    UMWELTGEFÄHRDENDER STOFF, FEST, N.A.G.    9/M7    III    1 000 kg</w:t>
      </w:r>
    </w:p>
    <w:p>
      <w:r>
        <w:rPr>
          <w:rFonts w:ascii="Courier New" w:hAnsi="Courier New"/>
          <w:sz w:val="17"/>
        </w:rPr>
        <w:t xml:space="preserve">3082    UMWELTGEFÄHRDENDER STOFF, FLÜSSIG, N.A.G    9/M6    III    1 000 l</w:t>
      </w:r>
    </w:p>
    <w:p>
      <w:pPr>
        <w:ind w:left="420"/>
      </w:pPr>
      <w:r>
        <w:t xml:space="preserve">3 VerpackungDie Stoffe und Gegenstände sind in geprüften und zugelassenen Verpackungen nach Kapitel 4.1 ADR/RID zu verpacken.</w:t>
      </w:r>
    </w:p>
    <w:p>
      <w:pPr>
        <w:ind w:left="420"/>
      </w:pPr>
      <w:r>
        <w:t xml:space="preserve">4 Höchstzulässige Gesamtmenge je Beförderungseinheit oder WagenDie Gesamtmenge aller gefährlichen Güter in einer Beförderungseinheit oder in einem Wagen darf die höchstzulässige Menge von 1 000 Kilogramm oder 1 000 Liter oder einer entsprechenden Summe beider Maßeinheiten nicht überschreiten. Bei der Berechnung sind die Mengen der gefährlichen Güter, deren Höchstmenge in der Tabelle in Nummer 2 auf 333 Liter oder 333 Kilogramm begrenzt ist, mit dem Faktor 3 zu multiplizieren.</w:t>
      </w:r>
    </w:p>
    <w:p>
      <w:pPr>
        <w:ind w:left="420"/>
      </w:pPr>
      <w:r>
        <w:t xml:space="preserve">5 Sonstige VorschriftenDie sonstigen, für die Beförderung von UN 0431 PYROTECHNISCHE GEGENSTÄNDE für technische Zwecke sowie UN 0503 SICHERHEITSEINRICHTUNGEN, PYROTECHNISCH der Klasse 1, Klassifizierungscode 1.4G geltenden Vorschriften sind einzuhalten.</w:t>
      </w:r>
    </w:p>
    <w:p>
      <w:pPr>
        <w:ind w:left="420"/>
      </w:pPr>
      <w:r>
        <w:t xml:space="preserve">6 Angaben im BeförderungspapierZusätzlich zu den sonst vorgeschriebenen Angaben ist zu vermerken: „Ausnahme 28“.</w:t>
      </w:r>
    </w:p>
    <w:p>
      <w:pPr>
        <w:ind w:left="420"/>
      </w:pPr>
      <w:r>
        <w:t xml:space="preserve">7 BefristungDie Ausnahme 28 ist bis zum 30. Juni 2027 befristet.</w:t>
      </w:r>
    </w:p>
    <w:p>
      <w:r>
        <w:t xml:space="preserve">Ausnahme 29</w:t>
      </w:r>
    </w:p>
    <w:p>
      <w:r>
        <w:t xml:space="preserve">– offen –</w:t>
      </w:r>
    </w:p>
    <w:p>
      <w:r>
        <w:t xml:space="preserve">Ausnahme 30</w:t>
      </w:r>
    </w:p>
    <w:p>
      <w:r>
        <w:t xml:space="preserve">– offen –</w:t>
      </w:r>
    </w:p>
    <w:p>
      <w:r>
        <w:t xml:space="preserve">Ausnahme 31 (S)Prüfungsfahrten bei technischen Untersuchungen</w:t>
      </w:r>
    </w:p>
    <w:p>
      <w:pPr>
        <w:ind w:left="420"/>
      </w:pPr>
      <w:r>
        <w:t xml:space="preserve">1 Abweichend von § 1 Absatz 3 Nummer 1 der GGVSEB in Verbindung mit Unterabschnitt 8.2.1.1 ADR müssen die nach § 14 Absatz 4 und 5 der GGVSEB zuständigen Sachverständigen und die Mitarbeiter der Technischen Dienste nicht im Besitz einer Bescheinigung über die Fahrzeugführerschulung sein, wenn die nachfolgenden Bestimmungen eingehalten werden.</w:t>
      </w:r>
    </w:p>
    <w:p>
      <w:pPr>
        <w:ind w:left="420"/>
      </w:pPr>
      <w:r>
        <w:t xml:space="preserve">2 Bei Prüfungsfahrten im Zusammenhang mit der Durchführung von Untersuchungen nach den §§ 19, 21 und 29 der Straßenverkehrs-Zulassungs-Ordnung sowie technischen Untersuchungen gemäß Teil 9 ADR müssen die Personen von einem Inhaber der vorgenannten Bescheinigung begleitet werden. Der Inhaber der Bescheinigung ist verantwortlich für die Einhaltung der Gefahrgutvorschriften im Sinne der §§ 28 und 29 Absatz 1 bis 4 der GGVSEB.</w:t>
      </w:r>
    </w:p>
    <w:p>
      <w:pPr>
        <w:ind w:left="420"/>
      </w:pPr>
      <w:r>
        <w:t xml:space="preserve">3 BefristungDie Ausnahme ist bis zum 30. Juni 2027 befristet.</w:t>
      </w:r>
    </w:p>
    <w:p>
      <w:r>
        <w:t xml:space="preserve">Ausnahme 32 (S, E)Beförderungen durch zivile Unternehmen im Auftrag und unter der Verantwortung der Bundeswehr</w:t>
      </w:r>
    </w:p>
    <w:p>
      <w:pPr>
        <w:ind w:left="420"/>
      </w:pPr>
      <w:r>
        <w:t xml:space="preserve">1 Abweichend von § 1 Absatz 3 Nummer 1 in Verbindung mit § 5 Absatz 6 der GGVSEB dürfen folgende Allgemeine Ausnahmegenehmigungen der Bundeswehr zur Gefahrgutverordnung Straße, Eisenbahn und Binnenschifffahrt (GGVSEB)[*] auch durch zivile Unternehmen angewendet werden, die im Auftrag und unter der Verantwortung der Bundeswehr gefährliche Güter befördern:</w:t>
      </w:r>
    </w:p>
    <w:p>
      <w:r>
        <w:rPr>
          <w:rFonts w:ascii="Courier New" w:hAnsi="Courier New"/>
          <w:sz w:val="17"/>
        </w:rPr>
        <w:t xml:space="preserve">a)    Bw 01 (S, E)    AGGABw    „Mitführen“ gefährlicher Güter auf der Straße und der Eisenbahn mit Fahrzeugen der Bundeswehr</w:t>
      </w:r>
    </w:p>
    <w:p>
      <w:r>
        <w:rPr>
          <w:rFonts w:ascii="Courier New" w:hAnsi="Courier New"/>
          <w:sz w:val="17"/>
        </w:rPr>
        <w:t xml:space="preserve">b)    Bw 17 (S, E)    AGGABw    Kennzeichnung von Gegenständen/Versandstücken gefährlicher Güter mit Gefahrzetteln geringerer Größe</w:t>
      </w:r>
    </w:p>
    <w:p>
      <w:r>
        <w:rPr>
          <w:rFonts w:ascii="Courier New" w:hAnsi="Courier New"/>
          <w:sz w:val="17"/>
        </w:rPr>
        <w:t xml:space="preserve">c)    Bw 21 (S, E)    AGGABw    Beförderung gefährlicher Güter Klasse 1 in (alt-)palettierten Versandstücken/geeigneten Handhabungseinrichtungen; keine Kennzeichnung mit Gefahrzetteln Nr. 8; Kennzeichnung mit Gefahrzetteln geringerer Abmessungen</w:t>
      </w:r>
    </w:p>
    <w:p>
      <w:r>
        <w:rPr>
          <w:rFonts w:ascii="Courier New" w:hAnsi="Courier New"/>
          <w:sz w:val="17"/>
        </w:rPr>
        <w:t xml:space="preserve">d)    Bw 23 (S, E)    AGGABw    Zusammenpacken von Gegenständen der Klasse 1 mit nicht gefährlichen Gütern (Zubehör)</w:t>
      </w:r>
    </w:p>
    <w:p>
      <w:r>
        <w:rPr>
          <w:rFonts w:ascii="Courier New" w:hAnsi="Courier New"/>
          <w:sz w:val="17"/>
        </w:rPr>
        <w:t xml:space="preserve">e)    Bw 24 (S, E)    AGGABw    Keine Mitnahme der Genehmigung zur Beförderung von n.a.g.-Gütern und Feuerwerkskörpern der Klasse 1</w:t>
      </w:r>
    </w:p>
    <w:p>
      <w:r>
        <w:rPr>
          <w:rFonts w:ascii="Courier New" w:hAnsi="Courier New"/>
          <w:sz w:val="17"/>
        </w:rPr>
        <w:t xml:space="preserve">f)    Bw 25 (S)    AGGABw    Beförderung von Resten oder Komponenten gefährlicher Güter der Klasse 1, die beim Verschuss anfallen</w:t>
      </w:r>
    </w:p>
    <w:p>
      <w:r>
        <w:rPr>
          <w:rFonts w:ascii="Courier New" w:hAnsi="Courier New"/>
          <w:sz w:val="17"/>
        </w:rPr>
        <w:t xml:space="preserve">g)    Bw 27 (S, E)    AGGABw    Verpackungen für militärische Güter der Klasse 1</w:t>
      </w:r>
    </w:p>
    <w:p>
      <w:r>
        <w:rPr>
          <w:rFonts w:ascii="Courier New" w:hAnsi="Courier New"/>
          <w:sz w:val="17"/>
        </w:rPr>
        <w:t xml:space="preserve">h)    Bw 29 (S)    AGGABw    Beförderung von Resten und/oder Komponenten gefährlicher Güter der Klasse 1 in Originalverpackungen unter Verzicht auf die vorgeschriebene Metallbebänderung.</w:t>
      </w:r>
    </w:p>
    <w:p>
      <w:pPr>
        <w:ind w:left="420"/>
      </w:pPr>
      <w:r>
        <w:t xml:space="preserve">2 Angaben im BeförderungspapierZusätzlich zu den sonst vorgeschriebenen Angaben ist zu vermerken: „Ausnahme 32 (BwXX)“, wobei XX der Nummer der Allgemeinen Ausnahmegenehmigung der Bundeswehr gemäß Nummer 1 Buchstabe a bis h entspricht.</w:t>
      </w:r>
    </w:p>
    <w:p>
      <w:r>
        <w:t xml:space="preserve">Ausnahme 33 (M)Beförderung gefährlicher Güter auf Fährschiffen</w:t>
      </w:r>
    </w:p>
    <w:p>
      <w:pPr>
        <w:ind w:left="420"/>
      </w:pPr>
      <w:r>
        <w:t xml:space="preserve">1 Abweichend von § 3 Absatz 1 der GGVSee dürfen gefährliche Güter auf Fährschiffen, die Fahrgäste oder Güter an einem Ort im Gebiet der Bundesrepublik Deutschland an Bord nehmen und sie gegen Entgelt an einen Bestimmungsort in diesem Gebiet befördern, sowie auf der Fährstrecke Eemshaven/Borkum befördert werden, wenn die nachfolgenden Bestimmungen beachtet werden.</w:t>
      </w:r>
    </w:p>
    <w:p>
      <w:pPr>
        <w:ind w:left="420"/>
      </w:pPr>
      <w:r>
        <w:t xml:space="preserve">2 AnwendungsbereichMit Ausnahme der unter Nummer 3 genannten gefährlichen Güter dürfen gefährliche Güter in CTU nur befördert werden, wenn</w:t>
      </w:r>
    </w:p>
    <w:p>
      <w:pPr>
        <w:ind w:left="780"/>
      </w:pPr>
      <w:r>
        <w:t xml:space="preserve">a) sie den Klassen 1 bis 9 ADR oder IMDG-Code zugeordnet und zur Beförderung zugelassen sind und</w:t>
      </w:r>
    </w:p>
    <w:p>
      <w:pPr>
        <w:ind w:left="780"/>
      </w:pPr>
      <w:r>
        <w:t xml:space="preserve">b) während der gesamten Dauer der Beförderung eine Wellenhöhe von nicht mehr als 1,5 Meter zu erwarten ist. Der Schiffsführer sorgt eigenverantwortlich für die Einhaltung dieser Bedingung.</w:t>
      </w:r>
    </w:p>
    <w:p>
      <w:pPr>
        <w:ind w:left="420"/>
      </w:pPr>
      <w:r>
        <w:t xml:space="preserve">3 Von der Ausnahme ausgenommene gefährliche GüterEs dürfen nicht befördert werden:</w:t>
      </w:r>
    </w:p>
    <w:p>
      <w:pPr>
        <w:ind w:left="780"/>
      </w:pPr>
      <w:r>
        <w:t xml:space="preserve">a) Güter der Klasse 1, ausgenommen UN 0336, UN 0337, UN 0431 und UN 0503,</w:t>
      </w:r>
    </w:p>
    <w:p>
      <w:pPr>
        <w:ind w:left="780"/>
      </w:pPr>
      <w:r>
        <w:t xml:space="preserve">b) Güter der Klasse 5.2,</w:t>
      </w:r>
    </w:p>
    <w:p>
      <w:pPr>
        <w:ind w:left="780"/>
      </w:pPr>
      <w:r>
        <w:t xml:space="preserve">c) Güter der Klassen 4.1, 4.2, 4.3, 6.1 und 8, die der Verpackungsgruppe I zugeordnet sind.</w:t>
      </w:r>
    </w:p>
    <w:p>
      <w:pPr>
        <w:ind w:left="420"/>
      </w:pPr>
      <w:r>
        <w:t xml:space="preserve">4 EignungsbescheinigungFür die Fährschiffe muss eine Bescheinigung des Germanischen Lloyds vorliegen, aus der ersichtlich ist, dass das betreffende Schiff CTU des Straßenverkehrs oder andere rollbare CTU befördern darf. In der Bescheinigung ist der Stellplatz so festzulegen, dass rund um die CTU ein Schutzbereich von mindestens 1 Meter frei und begehbar bleibt. Zu den Maschinenräumen, Ventilatorein- und -austritten, sonstigen Zugängen zu Unterdecksräumen, sonstigen Decksöffnungen und zur Begrenzung des Maschinenraumdecks muss mindestens ein Abstand von 1 Meter eingehalten werden. Satz 3 gilt nicht für explosionsgeschützte Zugänge und Öffnungen.</w:t>
      </w:r>
    </w:p>
    <w:p>
      <w:pPr>
        <w:ind w:left="420"/>
      </w:pPr>
      <w:r>
        <w:t xml:space="preserve">5 FeuerlöscheinrichtungenDer Teil des Fährschiffes, der in der Bescheinigung nach Nummer 4 als Stellplatz für CTU mit gefährlichen Gütern zugelassen ist, muss von Strahlrohren mit einfacher Schlauchlänge erreicht werden können. Alle Strahlrohre müssen zugelassene Mehrzweckstrahlrohre (z. B. Sprüh-/Vollstrahlrohre) mit Absperrung sein. Sofern die Eigenschaften der gefährlichen Güter es erfordern, sind außerdem entsprechende Löschmittel mitzuführen. Zusätzlich müssen zwei mobile Luft-Schaum-Feuerlöscheinrichtungen, bestehend aus Zumischer, Luftschaumrohr mit mindestens 400 Liter/Minute Wasserdurchsatz und transportablen Behältern für Schaummittel, oder gleichwertige Feuerlöscheinrichtungen vorhanden sein. Die mitzuführende Schaummittelmenge muss je Löscher mindestens 300 Liter betragen. Die Feuerlöscheinrichtungen müssen bis zur Entladung der Fährschiffe mit CTU, die gefährliche Güter enthalten, einsatzbereit sein.</w:t>
      </w:r>
    </w:p>
    <w:p>
      <w:pPr>
        <w:ind w:left="420"/>
      </w:pPr>
      <w:r>
        <w:t xml:space="preserve">6 MengengrenzenEs darf höchstens eine kennzeichnungspflichtige CTU des Straßenverkehrs (Beförderungseinheit im Sinne des Abschnitts 1.2.1 ADR) oder eine andere rollbare CTU mit gefährlichen Gütern je Fahrt befördert werden. Die gefährlichen Güter müssen hinsichtlich ihrer Klassifizierung, Verpackung, Kennzeichnung, Bezettelung und der Begleitpapiere dem jeweils gültigen ADR entsprechen. Enthalten die CTU gefährliche Güter innerhalb der Mengengrenzen der Tabelle in Unterabschnitt 1.1.3.6 ADR oder gefährliche Güter, die nach Unterabschnitt 1.1.3.1 Buchstabe c ADR freigestellt sind, hat der Fahrzeugführer den Schiffsführer über die Art und Menge der gefährlichen Güter vor Antritt der Fahrt zu informieren.</w:t>
      </w:r>
    </w:p>
    <w:p>
      <w:pPr>
        <w:ind w:left="420"/>
      </w:pPr>
      <w:r>
        <w:t xml:space="preserve">7 MeldepflichtWerden gefährliche Güter freigesetzt, muss die dem Ort des Gefahreneintritts nächstgelegene zuständige Behörde mit Benennung, Klasse und Menge der gefährlichen Güter unverzüglich informiert werden.</w:t>
      </w:r>
    </w:p>
    <w:p>
      <w:pPr>
        <w:ind w:left="420"/>
      </w:pPr>
      <w:r>
        <w:t xml:space="preserve">8 SicherungsmaßnahmenDer Schiffsführer hat durch geeignete Maßnahmen dafür zu sorgen, dass der Stellplatz der CTU mit gefährlichen Gütern einschließlich des freien Schutzbereichs nach Nummer 4 von Unbefugten nicht betreten wird.Die Beförderungseinheiten sind gegen Wegrollen und Wegrutschen durch Anziehen der Feststellbremse, Unterlegen von Keilen vor und hinter mindestens je einem Rad an allen Achsen, und weitere Sicherungsmaßnahmen (z. B. Einlegen des 1. Ganges) zu sichern.</w:t>
      </w:r>
    </w:p>
    <w:p>
      <w:pPr>
        <w:ind w:left="420"/>
      </w:pPr>
      <w:r>
        <w:t xml:space="preserve">9 Angaben im BeförderungspapierZusätzlich zu den sonst vorgeschriebenen Angaben ist zu vermerken: „Ausnahme 33“.</w:t>
      </w:r>
    </w:p>
    <w:p>
      <w:pPr>
        <w:ind w:left="420"/>
      </w:pPr>
      <w:r>
        <w:t xml:space="preserve">10 Schriftliche WeisungenDer Schiffsführer hat die schriftlichen Weisungen nach Abschnitt 5.4.3 ADR griffbereit auf der Brücke vorzuhalten.</w:t>
      </w:r>
    </w:p>
    <w:p>
      <w:pPr>
        <w:ind w:left="420"/>
      </w:pPr>
      <w:r>
        <w:t xml:space="preserve">11 AnlaufbedingungsverordnungDie Anlaufbedingungsverordnung vom 18. Februar 2004 (BGBl. I S. 300), die zuletzt durch Artikel 3 der Verordnung vom 28. Juni 2016 (BGBl. I S. 1504) geändert worden ist, gilt mit der Maßgabe, dass Nummer 2.5 der Anlage zu § 1 Absatz 1 anzuwenden ist.</w:t>
      </w:r>
    </w:p>
    <w:p>
      <w:r>
        <w:t xml:space="preserve">Ausnahme 34 (M)Beförderung gefährlicher Güter zur Offshore-Versorgung</w:t>
      </w:r>
    </w:p>
    <w:p>
      <w:r>
        <w:t xml:space="preserve">Abweichend von § 3 Absatz 1 Nummer 1 der GGVSee dürfen gefährliche Güter auf Seeschiffen im Verkehr zu Offshore-Anlagen und -Baustellen unter Einhaltung der nachfolgenden Bestimmungen befördert werden:</w:t>
      </w:r>
    </w:p>
    <w:p>
      <w:pPr>
        <w:ind w:left="420"/>
      </w:pPr>
      <w:r>
        <w:t xml:space="preserve">1 Art der BeförderungsdurchführungDie gefährlichen Güter werden von Unternehmen in Verbindung mit ihrer Haupttätigkeit als Lieferung oder Rücklieferung zu Offshore-Anlagen oder -Baustellen zum Zweck der Errichtung, des Betriebs, der Instandhaltung und der Wartung befördert.</w:t>
      </w:r>
    </w:p>
    <w:p>
      <w:pPr>
        <w:ind w:left="420"/>
      </w:pPr>
      <w:r>
        <w:t xml:space="preserve">2 Verpackung und Kennzeichnung von Versandstücken</w:t>
      </w:r>
    </w:p>
    <w:p>
      <w:pPr>
        <w:ind w:left="420"/>
      </w:pPr>
      <w:r>
        <w:t xml:space="preserve">2.1 Die gefährlichen Güter sind nach Kapitel 4.1 in Verbindung mit den Kapiteln 6.1, 6.2, 6.5 und 6.6 des IMDG-Codes oder des ADR/RID zu verpacken.</w:t>
      </w:r>
    </w:p>
    <w:p>
      <w:pPr>
        <w:ind w:left="420"/>
      </w:pPr>
      <w:r>
        <w:t xml:space="preserve">2.2 Die Versandstücke sind nach Kapitel 5.2 des IMDG-Codes oder des ADR/RID zu kennzeichnen und zu bezetteln. Die Kennzeichnung mit dem richtigen technischen Namen der gefährlichen Güter ist nicht erforderlich.</w:t>
      </w:r>
    </w:p>
    <w:p>
      <w:pPr>
        <w:ind w:left="420"/>
      </w:pPr>
      <w:r>
        <w:t xml:space="preserve">3 Dokumentation</w:t>
      </w:r>
    </w:p>
    <w:p>
      <w:pPr>
        <w:ind w:left="420"/>
      </w:pPr>
      <w:r>
        <w:t xml:space="preserve">3.1 Für alle an Bord befindlichen gefährlichen Güter müssen die auf die jeweiligen Stoffe und Gegenstände zutreffenden Sicherheitsdatenblätter mitgeführt werden. Dies gilt nicht für Gegenstände, für die kein Sicherheitsdatenblatt nach Artikel 31 in Verbindung mit Anlage II der Verordnung (EG) Nr. 1907/2006 des Europäischen Parlaments und des Rates vorgeschrieben ist.</w:t>
      </w:r>
    </w:p>
    <w:p>
      <w:pPr>
        <w:ind w:left="420"/>
      </w:pPr>
      <w:r>
        <w:t xml:space="preserve">3.2 Zusätzlich ist ein Verzeichnis mitzuführen, in dem die gefährlichen Güter mit folgenden Angaben aufgeführt sind:</w:t>
      </w:r>
    </w:p>
    <w:p>
      <w:pPr>
        <w:ind w:left="780"/>
      </w:pPr>
      <w:r>
        <w:t xml:space="preserve">a) die UN-Nummer, der die Buchstaben „UN“ vorangestellt werden,</w:t>
      </w:r>
    </w:p>
    <w:p>
      <w:pPr>
        <w:ind w:left="780"/>
      </w:pPr>
      <w:r>
        <w:t xml:space="preserve">b) der richtige technische Name nach Spalte 2 der Gefahrgutliste des IMDG-Codes,</w:t>
      </w:r>
    </w:p>
    <w:p>
      <w:pPr>
        <w:ind w:left="780"/>
      </w:pPr>
      <w:r>
        <w:t xml:space="preserve">c) die Klasse der Hauptgefahr oder, falls zugeordnet, Unterklasse der Güter sowie bei Klasse 1 der Buchstabe der Verträglichkeitsgruppe,</w:t>
      </w:r>
    </w:p>
    <w:p>
      <w:pPr>
        <w:ind w:left="780"/>
      </w:pPr>
      <w:r>
        <w:t xml:space="preserve">d) die gegebenenfalls zugeordnete(n) Nummer(n) für die Klasse oder Unterklasse der Zusatzgefahr und</w:t>
      </w:r>
    </w:p>
    <w:p>
      <w:pPr>
        <w:ind w:left="780"/>
      </w:pPr>
      <w:r>
        <w:t xml:space="preserve">e) gegebenenfalls die dem Stoff oder Gegenstand zugeordnete Verpackungsgruppe.</w:t>
      </w:r>
    </w:p>
    <w:p>
      <w:pPr>
        <w:ind w:left="420"/>
      </w:pPr>
      <w:r>
        <w:t xml:space="preserve">4 LadungDie Versandstücke sind in geeignete und zugelassene Offshore-Container zu verladen, die den Anforderungen des Unterabschnitts 7.3.2.3 des IMDG-Codes entsprechen. Alternativ können Lagerschränke nach der DIN EN 14470-1:2004 verwendet werden. Die Güter sind unter Beachtung der Vorschriften des Abschnitts 7.3.3 des IMDG-Codes in die Container oder in die Lagerschränke zu stauen, mit der Ausnahme, dass anstelle der in Unterabschnitt 7.3.3.5 des IMDG-Codes in Bezug genommenen Trennvorschriften die Zusammenladeverbote nach den Abschnitten 7.5.2 und 7.5.4 des ADR Anwendung finden. Ist die Zusammenladung verboten, sind verschiedene Container oder Lagerschränke zu verwenden, die in einem Abstand von mindestens 0,5 Meter an Bord des Schiffes aufgestellt sind. Die Bestimmungen über die Kennzeichnung und Plakatierung in Unterabschnitt 7.3.3.13 erster Satz des IMDG-Codes und die Bestimmungen zum CTU-Packzertifikat in Unterabschnitt 7.3.3.17 des IMDG-Codes finden keine Anwendung.</w:t>
      </w:r>
    </w:p>
    <w:p>
      <w:pPr>
        <w:ind w:left="420"/>
      </w:pPr>
      <w:r>
        <w:t xml:space="preserve">5 Menge der GüterDie Bruttomasse aller gefährlichen Güter darf 3 000 Kilogramm nicht überschreiten, wobei die Bruttomasse der gefährlichen Güter, die der Verpackungsgruppe I zugeordnet sind sowie der gefährlichen Güter der Klassen 1 und 2.3, insgesamt 300 Kilogramm nicht überschreiten darf.</w:t>
      </w:r>
    </w:p>
    <w:p>
      <w:pPr>
        <w:ind w:left="420"/>
      </w:pPr>
      <w:r>
        <w:t xml:space="preserve">6 Von der Freistellung ausgenommene GüterNicht befördert werden dürfen:</w:t>
      </w:r>
    </w:p>
    <w:p>
      <w:pPr>
        <w:ind w:left="780"/>
      </w:pPr>
      <w:r>
        <w:t xml:space="preserve">a) gefährliche Güter, die in Tanks befördert werden,</w:t>
      </w:r>
    </w:p>
    <w:p>
      <w:pPr>
        <w:ind w:left="780"/>
      </w:pPr>
      <w:r>
        <w:t xml:space="preserve">b) gefährliche Güter, deren Beförderung nach den Vorschriften des IMDG-Codes verboten ist oder für die die Verpackungsanweisung P 099 vorgeschrieben ist,</w:t>
      </w:r>
    </w:p>
    <w:p>
      <w:pPr>
        <w:ind w:left="780"/>
      </w:pPr>
      <w:r>
        <w:t xml:space="preserve">c) gefährliche Güter der Klasse 1 mit den Klassifizierungscodes 1.1 A, 1.1 L, 1.2 K, 1.2 L, 1.3 K und 1.3 L sowie der UN-Nummer 0190,</w:t>
      </w:r>
    </w:p>
    <w:p>
      <w:pPr>
        <w:ind w:left="780"/>
      </w:pPr>
      <w:r>
        <w:t xml:space="preserve">d) selbstzersetzliche Stoffe der Klasse 4.1, organische Peroxide der Klasse 5.2, polymerisierende Stoffe und entzündbare Gase und flüssige Stoffe mit einem Flammpunkt unter 23 °C, die unter Temperaturkontrolle zu befördern sind,</w:t>
      </w:r>
    </w:p>
    <w:p>
      <w:pPr>
        <w:ind w:left="780"/>
      </w:pPr>
      <w:r>
        <w:t xml:space="preserve">e) Stoffe der Klassen 4.1 und 5.2, die zusätzlich mit dem Gefahrzettel „EXPLOSIVE“ Muster 1 zu versehen sind,</w:t>
      </w:r>
    </w:p>
    <w:p>
      <w:pPr>
        <w:ind w:left="780"/>
      </w:pPr>
      <w:r>
        <w:t xml:space="preserve">f) gefährliche Güter der Klasse 6.2, Kategorie A und</w:t>
      </w:r>
    </w:p>
    <w:p>
      <w:pPr>
        <w:ind w:left="780"/>
      </w:pPr>
      <w:r>
        <w:t xml:space="preserve">g) gefährliche Güter der Klasse 7 mit Ausnahme der UN-Nummern 2908, 2909, 2910 und 2911.</w:t>
      </w:r>
    </w:p>
    <w:p>
      <w:r>
        <w:t xml:space="preserve">3 Bei Einstufung nach Nummer 4.2, 4.5 oder 4.6 ist der Stoff der Klasse 3, 8 oder 9 zusätzlich anzugeben.</w:t>
      </w:r>
    </w:p>
    <w:p>
      <w:r>
        <w:t xml:space="preserve">* Die Allgemeinen Ausnahmegenehmigungen können auch beim Bundesamt für Infrastruktur, Umweltschutz und Dienstleistungen der Bundeswehr, Abteilung gesetzliche Schutzaufgaben, Referat Grundsatz Gefahrgutwesen (BAUIDBw GS III 1), Fontainengraben 200, Postfach 29 63, 53123 Bonn, angefordert werden.</w:t>
      </w:r>
    </w:p>
    <w:p>
      <w:r>
        <w:rPr>
          <w:color w:val="555555"/>
          <w:sz w:val="17"/>
        </w:rPr>
        <w:t xml:space="preserve">Zitiervorschlag: Anlage GGAV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https://recht.nulegal.eu/gesetze/GGAV%202002/anlage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GGAV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