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GGAV 2002 — Geltungsbereich von Ausnahmegenehmigungen nach § 5 Absatz 1 Nummer 2 und Absatz 2 der Gefahrgutverordnung Straße, Eisenbahn und Binnenschifffahrt</w:t>
      </w:r>
    </w:p>
    <w:p>
      <w:r>
        <w:rPr>
          <w:color w:val="555555"/>
          <w:sz w:val="18"/>
        </w:rPr>
        <w:t xml:space="preserve">Gefahrgut-Ausnahmeverordnung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Beförderungen zum und vom nächstgelegenen geeigneten Bahnhof gelten Ausnahmegenehmigungen nach § 5 Absatz 1 Nummer 2 und Absatz 2 der Gefahrgutverordnung Straße, Eisenbahn und Binnenschifffahrt auch bei Beförderungen im Straßenverkehr. In diesen Fällen ist ein Abdruck der jeweiligen Ausnahmegenehmigung dem Beförderungspapier beizufügen.</w:t>
      </w:r>
    </w:p>
    <w:p>
      <w:r>
        <w:rPr>
          <w:color w:val="555555"/>
          <w:sz w:val="17"/>
        </w:rPr>
        <w:t xml:space="preserve">Zitiervorschlag: § 2 GGAV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https://recht.nulegal.eu/gesetze/GGAV%202002/2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