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GGAV 2002 — Geltungsbereich</w:t>
      </w:r>
    </w:p>
    <w:p>
      <w:r>
        <w:rPr>
          <w:color w:val="555555"/>
          <w:sz w:val="18"/>
        </w:rPr>
        <w:t xml:space="preserve">Gefahrgut-Ausnahmeverordnung</w:t>
      </w:r>
    </w:p>
    <w:p>
      <w:r>
        <w:rPr>
          <w:color w:val="555555"/>
          <w:sz w:val="18"/>
        </w:rPr>
        <w:t xml:space="preserve">Stand: 26.06.2025 (konsolidierte Textfassung, kein amtliches Inkrafttretensdatum)</w:t>
      </w:r>
    </w:p>
    <w:p>
      <w:r>
        <w:t xml:space="preserve">(1) Diese Verordnung enthält allgemeine Ausnahmen von</w:t>
      </w:r>
    </w:p>
    <w:p>
      <w:pPr>
        <w:ind w:left="420"/>
      </w:pPr>
      <w:r>
        <w:t xml:space="preserve">1. der Gefahrgutverordnung Straße, Eisenbahn und Binnenschifffahrt in der Fassung der Bekanntmachung vom 18. August 2023 (BGBl. 2023 I Nr. 227), die zuletzt durch Artikel 2 der Verordnung vom 19. Juni 2025 (BGBl. 2025 I Nr. 147) geändert worden ist, und</w:t>
      </w:r>
    </w:p>
    <w:p>
      <w:pPr>
        <w:ind w:left="420"/>
      </w:pPr>
      <w:r>
        <w:t xml:space="preserve">2. der Gefahrgutverordnung See in der Fassung der Bekanntmachung vom 7. Dezember 2017 (BGBl. I S. 3862; 2018 I S. 131).</w:t>
      </w:r>
    </w:p>
    <w:p>
      <w:r>
        <w:t xml:space="preserve">(2) Die in der Anlage dieser Verordnung aufgeführten Ausnahmen finden nur in dem Geltungsbereich Anwendung, der im Titel der einzelnen Ausnahmen durch Buchstaben gekennzeichnet ist. Die dort verwendeten Buchstaben haben folgende Bedeutung:</w:t>
      </w:r>
    </w:p>
    <w:p>
      <w:pPr>
        <w:ind w:left="420"/>
      </w:pPr>
      <w:r>
        <w:t xml:space="preserve">1. „B“ entspricht dem Geltungsbereich der Gefahrgutverordnung Straße, Eisenbahn und Binnenschifffahrt nach § 1 Absatz 1 Satz 1 Nummer 3 für Beförderungen auf allen schiffbaren Binnengewässern (Binnenschifffahrt),</w:t>
      </w:r>
    </w:p>
    <w:p>
      <w:pPr>
        <w:ind w:left="420"/>
      </w:pPr>
      <w:r>
        <w:t xml:space="preserve">2. „E“ entspricht dem Geltungsbereich der Gefahrgutverordnung Straße, Eisenbahn und Binnenschifffahrt nach § 1 Absatz 1 Satz 1 Nummer 2 für Beförderungen auf der Schiene mit Eisenbahnen (Eisenbahnverkehr),</w:t>
      </w:r>
    </w:p>
    <w:p>
      <w:pPr>
        <w:ind w:left="420"/>
      </w:pPr>
      <w:r>
        <w:t xml:space="preserve">3. „M“ entspricht dem Geltungsbereich der Gefahrgutverordnung See nach § 1 Absatz 1 und</w:t>
      </w:r>
    </w:p>
    <w:p>
      <w:pPr>
        <w:ind w:left="420"/>
      </w:pPr>
      <w:r>
        <w:t xml:space="preserve">4. „S“ entspricht dem Geltungsbereich der Gefahrgutverordnung Straße, Eisenbahn und Binnenschifffahrt nach § 1 Absatz 1 Satz 1 Nummer 1 für Beförderungen auf der Straße mit Fahrzeugen (Straßenverkehr).</w:t>
      </w:r>
    </w:p>
    <w:p>
      <w:r>
        <w:rPr>
          <w:color w:val="555555"/>
          <w:sz w:val="17"/>
        </w:rPr>
        <w:t xml:space="preserve">Zitiervorschlag: § 1 GGAV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https://recht.nulegal.eu/gesetze/GGAV%202002/1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