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95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Für die Gebiete der ordentlichen, der Verwaltungs-, der Finanz-, der Arbeits- und der Sozialgerichtsbarkeit errichtet der Bund als oberste Gerichtshöfe den Bundesgerichtshof, das Bundesverwaltungsgericht, den Bundesfinanzhof, das Bundesarbeitsgericht und das Bundessozialgericht.</w:t>
      </w:r>
    </w:p>
    <w:p>
      <w:r>
        <w:t xml:space="preserve">(2) Über die Berufung der Richter dieser Gerichte entscheidet der für das jeweilige Sachgebiet zuständige Bundesminister gemeinsam mit einem Richterwahlausschuß, der aus den für das jeweilige Sachgebiet zuständigen Ministern der Länder und einer gleichen Anzahl von Mitgliedern besteht, die vom Bundestage gewählt werden.</w:t>
      </w:r>
    </w:p>
    <w:p>
      <w:r>
        <w:t xml:space="preserve">(3) Zur Wahrung der Einheitlichkeit der Rechtsprechung ist ein Gemeinsamer Senat der in Absatz 1 genannten Gerichte zu bilden. Das Nähere regelt ein Bundesgesetz.</w:t>
      </w:r>
    </w:p>
    <w:p>
      <w:r>
        <w:rPr>
          <w:color w:val="555555"/>
          <w:sz w:val="17"/>
        </w:rPr>
        <w:t xml:space="preserve">Zitiervorschlag: Art 95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