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91c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Bund und Länder können bei der Planung, der Errichtung und dem Betrieb der für ihre Aufgabenerfüllung benötigten informationstechnischen Systeme zusammenwirken.</w:t>
      </w:r>
    </w:p>
    <w:p>
      <w:r>
        <w:t xml:space="preserve">(2) Bund und Länder können auf Grund von Vereinbarungen die für die Kommunikation zwischen ihren informationstechnischen Systemen notwendigen Standards und Sicherheitsanforderungen festlegen. Vereinbarungen über die Grundlagen der Zusammenarbeit nach Satz 1 können für einzelne nach Inhalt und Ausmaß bestimmte Aufgaben vorsehen, dass nähere Regelungen bei Zustimmung einer in der Vereinbarung zu bestimmenden qualifizierten Mehrheit für Bund und Länder in Kraft treten. Sie bedürfen der Zustimmung des Bundestages und der Volksvertretungen der beteiligten Länder; das Recht zur Kündigung dieser Vereinbarungen kann nicht ausgeschlossen werden. Die Vereinbarungen regeln auch die Kostentragung.</w:t>
      </w:r>
    </w:p>
    <w:p>
      <w:r>
        <w:t xml:space="preserve">(3) Die Länder können darüber hinaus den gemeinschaftlichen Betrieb informationstechnischer Systeme sowie die Errichtung von dazu bestimmten Einrichtungen vereinbaren.</w:t>
      </w:r>
    </w:p>
    <w:p>
      <w:r>
        <w:t xml:space="preserve">(4) Der Bund errichtet zur Verbindung der informationstechnischen Netze des Bundes und der Länder ein Verbindungsnetz. Das Nähere zur Errichtung und zum Betrieb des Verbindungsnetzes regelt ein Bundesgesetz mit Zustimmung des Bundesrates.</w:t>
      </w:r>
    </w:p>
    <w:p>
      <w:r>
        <w:t xml:space="preserve">(5) Der übergreifende informationstechnische Zugang zu den Verwaltungsleistungen von Bund und Ländern wird durch Bundesgesetz mit Zustimmung des Bundesrates geregelt.</w:t>
      </w:r>
    </w:p>
    <w:p>
      <w:r>
        <w:rPr>
          <w:color w:val="555555"/>
          <w:sz w:val="17"/>
        </w:rPr>
        <w:t xml:space="preserve">Zitiervorschlag: Art 91c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