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87d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Luftverkehrsverwaltung wird in Bundesverwaltung geführt. Aufgaben der Flugsicherung können auch durch ausländische Flugsicherungsorganisationen wahrgenommen werden, die nach Recht der Europäischen Gemeinschaft zugelassen sind. Das Nähere regelt ein Bundesgesetz.</w:t>
      </w:r>
    </w:p>
    <w:p>
      <w:r>
        <w:t xml:space="preserve">(2) Durch Bundesgesetz, das der Zustimmung des Bundesrates bedarf, können Aufgaben der Luftverkehrsverwaltung den Ländern als Auftragsverwaltung übertragen werden.</w:t>
      </w:r>
    </w:p>
    <w:p>
      <w:r>
        <w:rPr>
          <w:color w:val="555555"/>
          <w:sz w:val="17"/>
        </w:rPr>
        <w:t xml:space="preserve">Zitiervorschlag: Art 87d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https://recht.nulegal.eu/gesetze/GG/87d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