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24.11.2019 (konsolidierte Textfassung, kein amtliches Inkrafttretensdatum)</w:t>
      </w:r>
    </w:p>
    <w:p>
      <w:r>
        <w:t xml:space="preserve">(1) Im Bereich der konkurrierenden Gesetzgebung haben die Länder die Befugnis zur Gesetzgebung, solange und soweit der Bund von seiner Gesetzgebungszuständigkeit nicht durch Gesetz Gebrauch gemacht hat.</w:t>
      </w:r>
    </w:p>
    <w:p>
      <w:r>
        <w:t xml:space="preserve">(2) Auf den Gebieten des Artikels 74 Abs. 1 Nr. 4, 7, 11, 13, 15, 19a, 20, 22, 25 und 26 hat der Bund das Gesetzgebungsrecht, wenn und soweit die Herstellung gleichwertiger Lebensverhältnisse im Bundesgebiet oder die Wahrung der Rechts- oder Wirtschaftseinheit im gesamtstaatlichen Interesse eine bundesgesetzliche Regelung erforderlich macht.</w:t>
      </w:r>
    </w:p>
    <w:p>
      <w:r>
        <w:t xml:space="preserve">(3) Hat der Bund von seiner Gesetzgebungszuständigkeit Gebrauch gemacht, können die Länder durch Gesetz hiervon abweichende Regelungen treffen über:</w:t>
      </w:r>
    </w:p>
    <w:p>
      <w:pPr>
        <w:ind w:left="420"/>
      </w:pPr>
      <w:r>
        <w:t xml:space="preserve">1. das Jagdwesen (ohne das Recht der Jagdscheine);</w:t>
      </w:r>
    </w:p>
    <w:p>
      <w:pPr>
        <w:ind w:left="420"/>
      </w:pPr>
      <w:r>
        <w:t xml:space="preserve">2. den Naturschutz und die Landschaftspflege (ohne die allgemeinen Grundsätze des Naturschutzes, das Recht des Artenschutzes oder des Meeresnaturschutzes);</w:t>
      </w:r>
    </w:p>
    <w:p>
      <w:pPr>
        <w:ind w:left="420"/>
      </w:pPr>
      <w:r>
        <w:t xml:space="preserve">3. die Bodenverteilung;</w:t>
      </w:r>
    </w:p>
    <w:p>
      <w:pPr>
        <w:ind w:left="420"/>
      </w:pPr>
      <w:r>
        <w:t xml:space="preserve">4. die Raumordnung;</w:t>
      </w:r>
    </w:p>
    <w:p>
      <w:pPr>
        <w:ind w:left="420"/>
      </w:pPr>
      <w:r>
        <w:t xml:space="preserve">5. den Wasserhaushalt (ohne stoff- oder anlagenbezogene Regelungen);</w:t>
      </w:r>
    </w:p>
    <w:p>
      <w:pPr>
        <w:ind w:left="420"/>
      </w:pPr>
      <w:r>
        <w:t xml:space="preserve">6. die Hochschulzulassung und die Hochschulabschlüsse;</w:t>
      </w:r>
    </w:p>
    <w:p>
      <w:pPr>
        <w:ind w:left="420"/>
      </w:pPr>
      <w:r>
        <w:t xml:space="preserve">7. die Grundsteuer.</w:t>
      </w:r>
    </w:p>
    <w:p>
      <w:r>
        <w:t xml:space="preserve">Bundesgesetze auf diesen Gebieten treten frühestens sechs Monate nach ihrer Verkündung in Kraft, soweit nicht mit Zustimmung des Bundesrates anderes bestimmt ist. Auf den Gebieten des Satzes 1 geht im Verhältnis von Bundes- und Landesrecht das jeweils spätere Gesetz vor.</w:t>
      </w:r>
    </w:p>
    <w:p>
      <w:r>
        <w:t xml:space="preserve">(4) Durch Bundesgesetz kann bestimmt werden, daß eine bundesgesetzliche Regelung, für die eine Erforderlichkeit im Sinne des Absatzes 2 nicht mehr besteht, durch Landesrecht ersetzt werden kann.</w:t>
      </w:r>
    </w:p>
    <w:p>
      <w:r>
        <w:rPr>
          <w:color w:val="555555"/>
          <w:sz w:val="17"/>
        </w:rPr>
        <w:t xml:space="preserve">Zitiervorschlag: Art 72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https://recht.nulegal.eu/gesetze/GG/72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