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Länder haben das Recht der Gesetzgebung, soweit dieses Grundgesetz nicht dem Bunde Gesetzgebungsbefugnisse verleiht.</w:t>
      </w:r>
    </w:p>
    <w:p>
      <w:r>
        <w:t xml:space="preserve">(2) Die Abgrenzung der Zuständigkeit zwischen Bund und Ländern bemißt sich nach den Vorschriften dieses Grundgesetzes über die ausschließliche und die konkurrierende Gesetzgebung.</w:t>
      </w:r>
    </w:p>
    <w:p>
      <w:r>
        <w:rPr>
          <w:color w:val="555555"/>
          <w:sz w:val="17"/>
        </w:rPr>
        <w:t xml:space="preserve">Zitiervorschlag: Art 70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