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69 GG</w:t>
      </w:r>
    </w:p>
    <w:p>
      <w:r>
        <w:rPr>
          <w:color w:val="555555"/>
          <w:sz w:val="18"/>
        </w:rPr>
        <w:t xml:space="preserve">Grundgesetz für die Bundesrepublik Deutschland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Bundeskanzler ernennt einen Bundesminister zu seinem Stellvertreter.</w:t>
      </w:r>
    </w:p>
    <w:p>
      <w:r>
        <w:t xml:space="preserve">(2) Das Amt des Bundeskanzlers oder eines Bundesministers endigt in jedem Falle mit dem Zusammentritt eines neuen Bundestages, das Amt eines Bundesministers auch mit jeder anderen Erledigung des Amtes des Bundeskanzlers.</w:t>
      </w:r>
    </w:p>
    <w:p>
      <w:r>
        <w:t xml:space="preserve">(3) Auf Ersuchen des Bundespräsidenten ist der Bundeskanzler, auf Ersuchen des Bundeskanzlers oder des Bundespräsidenten ein Bundesminister verpflichtet, die Geschäfte bis zur Ernennung seines Nachfolgers weiterzuführen.</w:t>
      </w:r>
    </w:p>
    <w:p>
      <w:r>
        <w:rPr>
          <w:color w:val="555555"/>
          <w:sz w:val="17"/>
        </w:rPr>
        <w:t xml:space="preserve">Zitiervorschlag: Art 69 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https://recht.nulegal.eu/gesetze/GG/69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