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64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Bundesminister werden auf Vorschlag des Bundeskanzlers vom Bundespräsidenten ernannt und entlassen.</w:t>
      </w:r>
    </w:p>
    <w:p>
      <w:r>
        <w:t xml:space="preserve">(2) Der Bundeskanzler und die Bundesminister leisten bei der Amtsübernahme vor dem Bundestage den in Artikel 56 vorgesehenen Eid.</w:t>
      </w:r>
    </w:p>
    <w:p>
      <w:r>
        <w:rPr>
          <w:color w:val="555555"/>
          <w:sz w:val="17"/>
        </w:rPr>
        <w:t xml:space="preserve">Zitiervorschlag: Art 64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