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Bundesrat wählt seinen Präsidenten auf ein Jahr.</w:t>
      </w:r>
    </w:p>
    <w:p>
      <w:r>
        <w:t xml:space="preserve">(2) Der Präsident beruft den Bundesrat ein. Er hat ihn einzuberufen, wenn die Vertreter von mindestens zwei Ländern oder die Bundesregierung es verlangen.</w:t>
      </w:r>
    </w:p>
    <w:p>
      <w:r>
        <w:t xml:space="preserve">(3) Der Bundesrat faßt seine Beschlüsse mit mindestens der Mehrheit seiner Stimmen. Er gibt sich eine Geschäftsordnung. Er verhandelt öffentlich. Die Öffentlichkeit kann ausgeschlossen werden.</w:t>
      </w:r>
    </w:p>
    <w:p>
      <w:r>
        <w:t xml:space="preserve">(3a) Für Angelegenheiten der Europäischen Union kann der Bundesrat eine Europakammer bilden, deren Beschlüsse als Beschlüsse des Bundesrates gelten; die Anzahl der einheitlich abzugebenden Stimmen der Länder bestimmt sich nach Artikel 51 Abs. 2.</w:t>
      </w:r>
    </w:p>
    <w:p>
      <w:r>
        <w:t xml:space="preserve">(4) Den Ausschüssen des Bundesrates können andere Mitglieder oder Beauftragte der Regierungen der Länder angehören.</w:t>
      </w:r>
    </w:p>
    <w:p>
      <w:r>
        <w:rPr>
          <w:color w:val="555555"/>
          <w:sz w:val="17"/>
        </w:rPr>
        <w:t xml:space="preserve">Zitiervorschlag: Art 52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