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45c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Bundestag bestellt einen Petitionsausschuß, dem die Behandlung der nach Artikel 17 an den Bundestag gerichteten Bitten und Beschwerden obliegt.</w:t>
      </w:r>
    </w:p>
    <w:p>
      <w:r>
        <w:t xml:space="preserve">(2) Die Befugnisse des Ausschusses zur Überprüfung von Beschwerden regelt ein Bundesgesetz.</w:t>
      </w:r>
    </w:p>
    <w:p>
      <w:r>
        <w:rPr>
          <w:color w:val="555555"/>
          <w:sz w:val="17"/>
        </w:rPr>
        <w:t xml:space="preserve">Zitiervorschlag: Art 45c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https://recht.nulegal.eu/gesetze/GG/45c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