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45a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Bundestag bestellt einen Ausschuß für auswärtige Angelegenheiten und einen Ausschuß für Verteidigung.</w:t>
      </w:r>
    </w:p>
    <w:p>
      <w:r>
        <w:t xml:space="preserve">(2) Der Ausschuß für Verteidigung hat auch die Rechte eines Untersuchungsausschusses. Auf Antrag eines Viertels seiner Mitglieder hat er die Pflicht, eine Angelegenheit zum Gegenstand seiner Untersuchung zu machen.</w:t>
      </w:r>
    </w:p>
    <w:p>
      <w:r>
        <w:t xml:space="preserve">(3) Artikel 44 Abs. 1 findet auf dem Gebiet der Verteidigung keine Anwendung.</w:t>
      </w:r>
    </w:p>
    <w:p>
      <w:r>
        <w:rPr>
          <w:color w:val="555555"/>
          <w:sz w:val="17"/>
        </w:rPr>
        <w:t xml:space="preserve">Zitiervorschlag: Art 45a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https://recht.nulegal.eu/gesetze/GG/45a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