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44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Bundestag hat das Recht und auf Antrag eines Viertels seiner Mitglieder die Pflicht, einen Untersuchungsausschuß einzusetzen, der in öffentlicher Verhandlung die erforderlichen Beweise erhebt. Die Öffentlichkeit kann ausgeschlossen werden.</w:t>
      </w:r>
    </w:p>
    <w:p>
      <w:r>
        <w:t xml:space="preserve">(2) Auf Beweiserhebungen finden die Vorschriften über den Strafprozeß sinngemäß Anwendung. Das Brief-, Post- und Fernmeldegeheimnis bleibt unberührt.</w:t>
      </w:r>
    </w:p>
    <w:p>
      <w:r>
        <w:t xml:space="preserve">(3) Gerichte und Verwaltungsbehörden sind zur Rechts- und Amtshilfe verpflichtet.</w:t>
      </w:r>
    </w:p>
    <w:p>
      <w:r>
        <w:t xml:space="preserve">(4) Die Beschlüsse der Untersuchungsausschüsse sind der richterlichen Erörterung entzogen. In der Würdigung und Beurteilung des der Untersuchung zugrunde liegenden Sachverhaltes sind die Gerichte frei.</w:t>
      </w:r>
    </w:p>
    <w:p>
      <w:r>
        <w:rPr>
          <w:color w:val="555555"/>
          <w:sz w:val="17"/>
        </w:rPr>
        <w:t xml:space="preserve">Zitiervorschlag: Art 44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