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und seine Ausschüsse können die Anwesenheit jedes Mitgliedes der Bundesregierung verlangen.</w:t>
      </w:r>
    </w:p>
    <w:p>
      <w:r>
        <w:t xml:space="preserve">(2) Die Mitglieder des Bundesrates und der Bundesregierung sowie ihre Beauftragten haben zu allen Sitzungen des Bundestages und seiner Ausschüsse Zutritt. Sie müssen jederzeit gehört werden.</w:t>
      </w:r>
    </w:p>
    <w:p>
      <w:r>
        <w:rPr>
          <w:color w:val="555555"/>
          <w:sz w:val="17"/>
        </w:rPr>
        <w:t xml:space="preserve">Zitiervorschlag: Art 43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