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42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Bundestag verhandelt öffentlich. Auf Antrag eines Zehntels seiner Mitglieder oder auf Antrag der Bundesregierung kann mit Zweidrittelmehrheit die Öffentlichkeit ausgeschlossen werden. Über den Antrag wird in nichtöffentlicher Sitzung entschieden.</w:t>
      </w:r>
    </w:p>
    <w:p>
      <w:r>
        <w:t xml:space="preserve">(2) Zu einem Beschlusse des Bundestages ist die Mehrheit der abgegebenen Stimmen erforderlich, soweit dieses Grundgesetz nichts anderes bestimmt. Für die vom Bundestage vorzunehmenden Wahlen kann die Geschäftsordnung Ausnahmen zulassen.</w:t>
      </w:r>
    </w:p>
    <w:p>
      <w:r>
        <w:t xml:space="preserve">(3) Wahrheitsgetreue Berichte über die öffentlichen Sitzungen des Bundestages und seiner Ausschüsse bleiben von jeder Verantwortlichkeit frei.</w:t>
      </w:r>
    </w:p>
    <w:p>
      <w:r>
        <w:rPr>
          <w:color w:val="555555"/>
          <w:sz w:val="17"/>
        </w:rPr>
        <w:t xml:space="preserve">Zitiervorschlag: Art 42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