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40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Bundestag wählt seinen Präsidenten, dessen Stellvertreter und die Schriftführer. Er gibt sich eine Geschäftsordnung.</w:t>
      </w:r>
    </w:p>
    <w:p>
      <w:r>
        <w:t xml:space="preserve">(2) Der Präsident übt das Hausrecht und die Polizeigewalt im Gebäude des Bundestages aus. Ohne seine Genehmigung darf in den Räumen des Bundestages keine Durchsuchung oder Beschlagnahme stattfinden.</w:t>
      </w:r>
    </w:p>
    <w:p>
      <w:r>
        <w:rPr>
          <w:color w:val="555555"/>
          <w:sz w:val="17"/>
        </w:rPr>
        <w:t xml:space="preserve">Zitiervorschlag: Art 40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