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Freiheit des Glaubens, des Gewissens und die Freiheit des religiösen und weltanschaulichen Bekenntnisses sind unverletzlich.</w:t>
      </w:r>
    </w:p>
    <w:p>
      <w:r>
        <w:t xml:space="preserve">(2) Die ungestörte Religionsausübung wird gewährleistet.</w:t>
      </w:r>
    </w:p>
    <w:p>
      <w:r>
        <w:t xml:space="preserve">(3) Niemand darf gegen sein Gewissen zum Kriegsdienst mit der Waffe gezwungen werden. Das Nähere regelt ein Bundesgesetz.</w:t>
      </w:r>
    </w:p>
    <w:p>
      <w:r>
        <w:rPr>
          <w:color w:val="555555"/>
          <w:sz w:val="17"/>
        </w:rPr>
        <w:t xml:space="preserve">Zitiervorschlag: Art 4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