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Pflege der Beziehungen zu auswärtigen Staaten ist Sache des Bundes.</w:t>
      </w:r>
    </w:p>
    <w:p>
      <w:r>
        <w:t xml:space="preserve">(2) Vor dem Abschlusse eines Vertrages, der die besonderen Verhältnisse eines Landes berührt, ist das Land rechtzeitig zu hören.</w:t>
      </w:r>
    </w:p>
    <w:p>
      <w:r>
        <w:t xml:space="preserve">(3) Soweit die Länder für die Gesetzgebung zuständig sind, können sie mit Zustimmung der Bundesregierung mit auswärtigen Staaten Verträge abschließen.</w:t>
      </w:r>
    </w:p>
    <w:p>
      <w:r>
        <w:rPr>
          <w:color w:val="555555"/>
          <w:sz w:val="17"/>
        </w:rPr>
        <w:t xml:space="preserve">Zitiervorschlag: Art 32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