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Handlungen, die geeignet sind und in der Absicht vorgenommen werden, das friedliche Zusammenleben der Völker zu stören, insbesondere die Führung eines Angriffskrieges vorzubereiten, sind verfassungswidrig. Sie sind unter Strafe zu stellen.</w:t>
      </w:r>
    </w:p>
    <w:p>
      <w:r>
        <w:t xml:space="preserve">(2) Zur Kriegführung bestimmte Waffen dürfen nur mit Genehmigung der Bundesregierung hergestellt, befördert und in Verkehr gebracht werden. Das Nähere regelt ein Bundesgesetz.</w:t>
      </w:r>
    </w:p>
    <w:p>
      <w:r>
        <w:rPr>
          <w:color w:val="555555"/>
          <w:sz w:val="17"/>
        </w:rPr>
        <w:t xml:space="preserve">Zitiervorschlag: Art 26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