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kann durch Gesetz Hoheitsrechte auf zwischenstaatliche Einrichtungen übertragen.</w:t>
      </w:r>
    </w:p>
    <w:p>
      <w:r>
        <w:t xml:space="preserve">(1a) Soweit die Länder für die Ausübung der staatlichen Befugnisse und die Erfüllung der staatlichen Aufgaben zuständig sind, können sie mit Zustimmung der Bundesregierung Hoheitsrechte auf grenznachbarschaftliche Einrichtungen übertragen.</w:t>
      </w:r>
    </w:p>
    <w:p>
      <w:r>
        <w:t xml:space="preserve">(2) Der Bund kann sich zur Wahrung des Friedens einem System gegenseitiger kollektiver Sicherheit einordnen; er wird hierbei in die Beschränkungen seiner Hoheitsrechte einwilligen, die eine friedliche und dauerhafte Ordnung in Europa und zwischen den Völkern der Welt herbeiführen und sichern.</w:t>
      </w:r>
    </w:p>
    <w:p>
      <w:r>
        <w:t xml:space="preserve">(3) Zur Regelung zwischenstaatlicher Streitigkeiten wird der Bund Vereinbarungen über eine allgemeine, umfassende, obligatorische, internationale Schiedsgerichtsbarkeit beitreten.</w:t>
      </w:r>
    </w:p>
    <w:p>
      <w:r>
        <w:rPr>
          <w:color w:val="555555"/>
          <w:sz w:val="17"/>
        </w:rPr>
        <w:t xml:space="preserve">Zitiervorschlag: Art 24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