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hat das Recht auf die freie Entfaltung seiner Persönlichkeit, soweit er nicht die Rechte anderer verletzt und nicht gegen die verfassungsmäßige Ordnung oder das Sittengesetz verstößt.</w:t>
      </w:r>
    </w:p>
    <w:p>
      <w:r>
        <w:t xml:space="preserve">(2) Jeder hat das Recht auf Leben und körperliche Unversehrtheit. Die Freiheit der Person ist unverletzlich. In diese Rechte darf nur auf Grund eines Gesetzes eingegriffen werden.</w:t>
      </w:r>
    </w:p>
    <w:p>
      <w:r>
        <w:rPr>
          <w:color w:val="555555"/>
          <w:sz w:val="17"/>
        </w:rPr>
        <w:t xml:space="preserve">Zitiervorschlag: Art 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