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17a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Gesetze über Wehrdienst und Ersatzdienst können bestimmen, daß für die Angehörigen der Streitkräfte und des Ersatzdienstes während der Zeit des Wehr- oder Ersatzdienstes das Grundrecht, seine Meinung in Wort, Schrift und Bild frei zu äußern und zu verbreiten (Artikel 5 Abs. 1 Satz 1 erster Halbsatz), das Grundrecht der Versammlungsfreiheit (Artikel 8) und das Petitionsrecht (Artikel 17), soweit es das Recht gewährt, Bitten oder Beschwerden in Gemeinschaft mit anderen vorzubringen, eingeschränkt werden.</w:t>
      </w:r>
    </w:p>
    <w:p>
      <w:r>
        <w:t xml:space="preserve">(2) Gesetze, die der Verteidigung einschließlich des Schutzes der Zivilbevölkerung dienen, können bestimmen, daß die Grundrechte der Freizügigkeit (Artikel 11) und der Unverletzlichkeit der Wohnung (Artikel 13) eingeschränkt werden.</w:t>
      </w:r>
    </w:p>
    <w:p>
      <w:r>
        <w:rPr>
          <w:color w:val="555555"/>
          <w:sz w:val="17"/>
        </w:rPr>
        <w:t xml:space="preserve">Zitiervorschlag: Art 17a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https://recht.nulegal.eu/gesetze/GG/17a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