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145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Parlamentarische Rat stellt in öffentlicher Sitzung unter Mitwirkung der Abgeordneten Groß-Berlins die Annahme dieses Grundgesetzes fest, fertigt es aus und verkündet es.</w:t>
      </w:r>
    </w:p>
    <w:p>
      <w:r>
        <w:t xml:space="preserve">(2) Dieses Grundgesetz tritt mit Ablauf des Tages der Verkündung in Kraft.</w:t>
      </w:r>
    </w:p>
    <w:p>
      <w:r>
        <w:t xml:space="preserve">(3) Es ist im Bundesgesetzblatte zu veröffentlichen.</w:t>
      </w:r>
    </w:p>
    <w:p>
      <w:r>
        <w:rPr>
          <w:color w:val="555555"/>
          <w:sz w:val="17"/>
        </w:rPr>
        <w:t xml:space="preserve">Zitiervorschlag: Art 145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