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137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Wählbarkeit von Beamten, Angestellten des öffentlichen Dienstes, Berufssoldaten, freiwilligen Soldaten auf Zeit und Richtern im Bund, in den Ländern und den Gemeinden kann gesetzlich beschränkt werden.</w:t>
      </w:r>
    </w:p>
    <w:p>
      <w:r>
        <w:t xml:space="preserve">(2) Für die Wahl des ersten Bundestages, der ersten Bundesversammlung und des ersten Bundespräsidenten der Bundesrepublik gilt das vom Parlamentarischen Rat zu beschließende Wahlgesetz.</w:t>
      </w:r>
    </w:p>
    <w:p>
      <w:r>
        <w:t xml:space="preserve">(3) Die dem Bundesverfassungsgerichte gemäß Artikel 41 Abs. 2 zustehende Befugnis wird bis zu seiner Errichtung von dem Deutschen Obergericht für das Vereinigte Wirtschaftsgebiet wahrgenommen, das nach Maßgabe seiner Verfahrensordnung entscheidet.</w:t>
      </w:r>
    </w:p>
    <w:p>
      <w:r>
        <w:rPr>
          <w:color w:val="555555"/>
          <w:sz w:val="17"/>
        </w:rPr>
        <w:t xml:space="preserve">Zitiervorschlag: Art 137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https://recht.nulegal.eu/gesetze/GG/137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