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136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Bundesrat tritt erstmalig am Tage des ersten Zusammentrittes des Bundestages zusammen.</w:t>
      </w:r>
    </w:p>
    <w:p>
      <w:r>
        <w:t xml:space="preserve">(2) Bis zur Wahl des ersten Bundespräsidenten werden dessen Befugnisse von dem Präsidenten des Bundesrates ausgeübt. Das Recht der Auflösung des Bundestages steht ihm nicht zu.</w:t>
      </w:r>
    </w:p>
    <w:p>
      <w:r>
        <w:rPr>
          <w:color w:val="555555"/>
          <w:sz w:val="17"/>
        </w:rPr>
        <w:t xml:space="preserve">Zitiervorschlag: Art 136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