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135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Hat sich nach dem 8. Mai 1945 bis zum Inkrafttreten dieses Grundgesetzes die Landeszugehörigkeit eines Gebietes geändert, so steht in diesem Gebiete das Vermögen des Landes, dem das Gebiet angehört hat, dem Lande zu, dem es jetzt angehört.</w:t>
      </w:r>
    </w:p>
    <w:p>
      <w:r>
        <w:t xml:space="preserve">(2) Das Vermögen nicht mehr bestehender Länder und nicht mehr bestehender anderer Körperschaften und Anstalten des öffentlichen Rechtes geht, soweit es nach seiner ursprünglichen Zweckbestimmung überwiegend für Verwaltungsaufgaben bestimmt war, oder nach seiner gegenwärtigen, nicht nur vorübergehenden Benutzung überwiegend Verwaltungsaufgaben dient, auf das Land oder die Körperschaft oder Anstalt des öffentlichen Rechtes über, die nunmehr diese Aufgaben erfüllen.</w:t>
      </w:r>
    </w:p>
    <w:p>
      <w:r>
        <w:t xml:space="preserve">(3) Grundvermögen nicht mehr bestehender Länder geht einschließlich des Zubehörs, soweit es nicht bereits zu Vermögen im Sinne des Absatzes 1 gehört, auf das Land über, in dessen Gebiet es belegen ist.</w:t>
      </w:r>
    </w:p>
    <w:p>
      <w:r>
        <w:t xml:space="preserve">(4) Sofern ein überwiegendes Interesse des Bundes oder das besondere Interesse eines Gebietes es erfordert, kann durch Bundesgesetz eine von den Absätzen 1 bis 3 abweichende Regelung getroffen werden.</w:t>
      </w:r>
    </w:p>
    <w:p>
      <w:r>
        <w:t xml:space="preserve">(5) Im übrigen wird die Rechtsnachfolge und die Auseinandersetzung, soweit sie nicht bis zum 1. Januar 1952 durch Vereinbarung zwischen den beteiligten Ländern oder Körperschaften oder Anstalten des öffentlichen Rechtes erfolgt, durch Bundesgesetz geregelt, das der Zustimmung des Bundesrates bedarf.</w:t>
      </w:r>
    </w:p>
    <w:p>
      <w:r>
        <w:t xml:space="preserve">(6) Beteiligungen des ehemaligen Landes Preußen an Unternehmen des privaten Rechtes gehen auf den Bund über. Das Nähere regelt ein Bundesgesetz, das auch Abweichendes bestimmen kann.</w:t>
      </w:r>
    </w:p>
    <w:p>
      <w:r>
        <w:t xml:space="preserve">(7) Soweit über Vermögen, das einem Lande oder einer Körperschaft oder Anstalt des öffentlichen Rechtes nach den Absätzen 1 bis 3 zufallen würde, von dem danach Berechtigten durch ein Landesgesetz, auf Grund eines Landesgesetzes oder in anderer Weise bei Inkrafttreten des Grundgesetzes verfügt worden war, gilt der Vermögensübergang als vor der Verfügung erfolgt.</w:t>
      </w:r>
    </w:p>
    <w:p>
      <w:r>
        <w:rPr>
          <w:color w:val="555555"/>
          <w:sz w:val="17"/>
        </w:rPr>
        <w:t xml:space="preserve">Zitiervorschlag: Art 135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