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130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Verwaltungsorgane und sonstige der öffentlichen Verwaltung oder Rechtspflege dienende Einrichtungen, die nicht auf Landesrecht oder Staatsverträgen zwischen Ländern beruhen, sowie die Betriebsvereinigung der südwestdeutschen Eisenbahnen und der Verwaltungsrat für das Post- und Fernmeldewesen für das französische Besatzungsgebiet unterstehen der Bundesregierung. Diese regelt mit Zustimmung des Bundesrates die Überführung, Auflösung oder Abwicklung.</w:t>
      </w:r>
    </w:p>
    <w:p>
      <w:r>
        <w:t xml:space="preserve">(2) Oberster Disziplinarvorgesetzter der Angehörigen dieser Verwaltungen und Einrichtungen ist der zuständige Bundesminister.</w:t>
      </w:r>
    </w:p>
    <w:p>
      <w:r>
        <w:t xml:space="preserve">(3) Nicht landesunmittelbare und nicht auf Staatsverträgen zwischen den Ländern beruhende Körperschaften und Anstalten des öffentlichen Rechtes unterstehen der Aufsicht der zuständigen obersten Bundesbehörde.</w:t>
      </w:r>
    </w:p>
    <w:p>
      <w:r>
        <w:rPr>
          <w:color w:val="555555"/>
          <w:sz w:val="17"/>
        </w:rPr>
        <w:t xml:space="preserve">Zitiervorschlag: Art 130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