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129 GG</w:t>
      </w:r>
    </w:p>
    <w:p>
      <w:r>
        <w:rPr>
          <w:color w:val="555555"/>
          <w:sz w:val="18"/>
        </w:rPr>
        <w:t xml:space="preserve">Grundgesetz für die Bundesrepublik Deutschland</w:t>
      </w:r>
    </w:p>
    <w:p>
      <w:r>
        <w:rPr>
          <w:color w:val="555555"/>
          <w:sz w:val="18"/>
        </w:rPr>
        <w:t xml:space="preserve">Stand: 10.06.2019 (konsolidierte Textfassung, kein amtliches Inkrafttretensdatum)</w:t>
      </w:r>
    </w:p>
    <w:p>
      <w:r>
        <w:t xml:space="preserve">(1) Soweit in Rechtsvorschriften, die als Bundesrecht fortgelten, eine Ermächtigung zum Erlasse von Rechtsverordnungen oder allgemeinen Verwaltungsvorschriften sowie zur Vornahme von Verwaltungsakten enthalten ist, geht sie auf die nunmehr sachlich zuständigen Stellen über. In Zweifelsfällen entscheidet die Bundesregierung im Einvernehmen mit dem Bundesrate; die Entscheidung ist zu veröffentlichen.</w:t>
      </w:r>
    </w:p>
    <w:p>
      <w:r>
        <w:t xml:space="preserve">(2) Soweit in Rechtsvorschriften, die als Landesrecht fortgelten, eine solche Ermächtigung enthalten ist, wird sie von den nach Landesrecht zuständigen Stellen ausgeübt.</w:t>
      </w:r>
    </w:p>
    <w:p>
      <w:r>
        <w:t xml:space="preserve">(3) Soweit Rechtsvorschriften im Sinne der Absätze 1 und 2 zu ihrer Änderung oder Ergänzung oder zum Erlaß von Rechtsvorschriften an Stelle von Gesetzen ermächtigen, sind diese Ermächtigungen erloschen.</w:t>
      </w:r>
    </w:p>
    <w:p>
      <w:r>
        <w:t xml:space="preserve">(4) Die Vorschriften der Absätze 1 und 2 gelten entsprechend, soweit in Rechtsvorschriften auf nicht mehr geltende Vorschriften oder nicht mehr bestehende Einrichtungen verwiesen ist.</w:t>
      </w:r>
    </w:p>
    <w:p>
      <w:r>
        <w:rPr>
          <w:color w:val="555555"/>
          <w:sz w:val="17"/>
        </w:rPr>
        <w:t xml:space="preserve">Zitiervorschlag: Art 129 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https://recht.nulegal.eu/gesetze/GG/129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