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125a GG</w:t>
      </w:r>
    </w:p>
    <w:p>
      <w:r>
        <w:rPr>
          <w:color w:val="555555"/>
          <w:sz w:val="18"/>
        </w:rPr>
        <w:t xml:space="preserve">Grundgesetz für die Bundesrepublik Deutschland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Recht, das als Bundesrecht erlassen worden ist, aber wegen der Änderung des Artikels 74 Abs. 1, der Einfügung des Artikels 84 Abs. 1 Satz 7, des Artikels 85 Abs. 1 Satz 2 oder des Artikels 105 Abs. 2a Satz 2 oder wegen der Aufhebung der Artikel 74a, 75 oder 98 Abs. 3 Satz 2 nicht mehr als Bundesrecht erlassen werden könnte, gilt als Bundesrecht fort. Es kann durch Landesrecht ersetzt werden.</w:t>
      </w:r>
    </w:p>
    <w:p>
      <w:r>
        <w:t xml:space="preserve">(2) Recht, das auf Grund des Artikels 72 Abs. 2 in der bis zum 15. November 1994 geltenden Fassung erlassen worden ist, aber wegen Änderung des Artikels 72 Abs. 2 nicht mehr als Bundesrecht erlassen werden könnte, gilt als Bundesrecht fort. Durch Bundesgesetz kann bestimmt werden, dass es durch Landesrecht ersetzt werden kann.</w:t>
      </w:r>
    </w:p>
    <w:p>
      <w:r>
        <w:t xml:space="preserve">(3) Recht, das als Landesrecht erlassen worden ist, aber wegen Änderung des Artikels 73 nicht mehr als Landesrecht erlassen werden könnte, gilt als Landesrecht fort. Es kann durch Bundesrecht ersetzt werden.</w:t>
      </w:r>
    </w:p>
    <w:p>
      <w:r>
        <w:rPr>
          <w:color w:val="555555"/>
          <w:sz w:val="17"/>
        </w:rPr>
        <w:t xml:space="preserve">Zitiervorschlag: Art 125a 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https://recht.nulegal.eu/gesetze/GG/125a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