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125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Recht, das Gegenstände der konkurrierenden Gesetzgebung des Bundes betrifft, wird innerhalb seines Geltungsbereiches Bundesrecht,</w:t>
      </w:r>
    </w:p>
    <w:p>
      <w:pPr>
        <w:ind w:left="420"/>
      </w:pPr>
      <w:r>
        <w:t xml:space="preserve">1. soweit es innerhalb einer oder mehrerer Besatzungszonen einheitlich gilt,</w:t>
      </w:r>
    </w:p>
    <w:p>
      <w:pPr>
        <w:ind w:left="420"/>
      </w:pPr>
      <w:r>
        <w:t xml:space="preserve">2. soweit es sich um Recht handelt, durch das nach dem 8. Mai 1945 früheres Reichsrecht abgeändert worden ist.</w:t>
      </w:r>
    </w:p>
    <w:p>
      <w:r>
        <w:rPr>
          <w:color w:val="555555"/>
          <w:sz w:val="17"/>
        </w:rPr>
        <w:t xml:space="preserve">Zitiervorschlag: Art 125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