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118a GG</w:t>
      </w:r>
    </w:p>
    <w:p>
      <w:r>
        <w:rPr>
          <w:color w:val="555555"/>
          <w:sz w:val="18"/>
        </w:rPr>
        <w:t xml:space="preserve">Grundgesetz für die Bundesrepublik Deutschland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Neugliederung in dem die Länder Berlin und Brandenburg umfassenden Gebiet kann abweichend von den Vorschriften des Artikels 29 unter Beteiligung ihrer Wahlberechtigten durch Vereinbarung beider Länder erfolgen.</w:t>
      </w:r>
    </w:p>
    <w:p>
      <w:r>
        <w:rPr>
          <w:color w:val="555555"/>
          <w:sz w:val="17"/>
        </w:rPr>
        <w:t xml:space="preserve">Zitiervorschlag: Art 118a 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https://recht.nulegal.eu/gesetze/GG/118a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