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117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dem Artikel 3 Abs. 2 entgegenstehende Recht bleibt bis zu seiner Anpassung an diese Bestimmung des Grundgesetzes in Kraft, jedoch nicht länger als bis zum 31. März 1953.</w:t>
      </w:r>
    </w:p>
    <w:p>
      <w:r>
        <w:t xml:space="preserve">(2) Gesetze, die das Recht der Freizügigkeit mit Rücksicht auf die gegenwärtige Raumnot einschränken, bleiben bis zu ihrer Aufhebung durch Bundesgesetz in Kraft.</w:t>
      </w:r>
    </w:p>
    <w:p>
      <w:r>
        <w:rPr>
          <w:color w:val="555555"/>
          <w:sz w:val="17"/>
        </w:rPr>
        <w:t xml:space="preserve">Zitiervorschlag: Art 117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https://recht.nulegal.eu/gesetze/GG/117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