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115f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Bundesregierung kann im Verteidigungsfalle, soweit es die Verhältnisse erfordern,</w:t>
      </w:r>
    </w:p>
    <w:p>
      <w:pPr>
        <w:ind w:left="420"/>
      </w:pPr>
      <w:r>
        <w:t xml:space="preserve">1. den Bundesgrenzschutz im gesamten Bundesgebiete einsetzen;</w:t>
      </w:r>
    </w:p>
    <w:p>
      <w:pPr>
        <w:ind w:left="420"/>
      </w:pPr>
      <w:r>
        <w:t xml:space="preserve">2. außer der Bundesverwaltung auch den Landesregierungen und, wenn sie es für dringlich erachtet, den Landesbehörden Weisungen erteilen und diese Befugnis auf von ihr zu bestimmende Mitglieder der Landesregierungen übertragen.</w:t>
      </w:r>
    </w:p>
    <w:p>
      <w:r>
        <w:t xml:space="preserve">(2) Bundestag, Bundesrat und der Gemeinsame Ausschuß sind unverzüglich von den nach Absatz 1 getroffenen Maßnahmen zu unterrichten.</w:t>
      </w:r>
    </w:p>
    <w:p>
      <w:r>
        <w:rPr>
          <w:color w:val="555555"/>
          <w:sz w:val="17"/>
        </w:rPr>
        <w:t xml:space="preserve">Zitiervorschlag: Art 115f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https://recht.nulegal.eu/gesetze/GG/115f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