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109a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Vermeidung von Haushaltsnotlagen regelt ein Bundesgesetz, das der Zustimmung des Bundesrates bedarf,</w:t>
      </w:r>
    </w:p>
    <w:p>
      <w:pPr>
        <w:ind w:left="420"/>
      </w:pPr>
      <w:r>
        <w:t xml:space="preserve">1. die fortlaufende Überwachung der Haushaltswirtschaft von Bund und Ländern durch ein gemeinsames Gremium (Stabilitätsrat),</w:t>
      </w:r>
    </w:p>
    <w:p>
      <w:pPr>
        <w:ind w:left="420"/>
      </w:pPr>
      <w:r>
        <w:t xml:space="preserve">2. die Voraussetzungen und das Verfahren zur Feststellung einer drohenden Haushaltsnotlage,</w:t>
      </w:r>
    </w:p>
    <w:p>
      <w:pPr>
        <w:ind w:left="420"/>
      </w:pPr>
      <w:r>
        <w:t xml:space="preserve">3. die Grundsätze zur Aufstellung und Durchführung von Sanierungsprogrammen zur Vermeidung von Haushaltsnotlagen.</w:t>
      </w:r>
    </w:p>
    <w:p>
      <w:r>
        <w:t xml:space="preserve">(2) Dem Stabilitätsrat obliegt ab dem Jahr 2020 die Überwachung der Einhaltung der Vorgaben des Artikels 109 Absatz 3 durch Bund und Länder. Die Überwachung orientiert sich an den Vorgaben und Verfahren aus Rechtsakten auf Grund des Vertrages über die Arbeitsweise der Europäischen Union zur Einhaltung der Haushaltsdisziplin.</w:t>
      </w:r>
    </w:p>
    <w:p>
      <w:r>
        <w:t xml:space="preserve">(3) Die Beschlüsse des Stabilitätsrats und die zugrunde liegenden Beratungsunterlagen sind zu veröffentlichen.</w:t>
      </w:r>
    </w:p>
    <w:p>
      <w:r>
        <w:rPr>
          <w:color w:val="555555"/>
          <w:sz w:val="17"/>
        </w:rPr>
        <w:t xml:space="preserve">Zitiervorschlag: Art 109a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https://recht.nulegal.eu/gesetze/GG/109a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