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109 GG</w:t>
      </w:r>
    </w:p>
    <w:p>
      <w:r>
        <w:rPr>
          <w:color w:val="555555"/>
          <w:sz w:val="18"/>
        </w:rPr>
        <w:t xml:space="preserve">Grundgesetz für die Bundesrepublik Deutschland</w:t>
      </w:r>
    </w:p>
    <w:p>
      <w:r>
        <w:rPr>
          <w:color w:val="555555"/>
          <w:sz w:val="18"/>
        </w:rPr>
        <w:t xml:space="preserve">Stand: 13.04.2025 (konsolidierte Textfassung, kein amtliches Inkrafttretensdatum)</w:t>
      </w:r>
    </w:p>
    <w:p>
      <w:r>
        <w:t xml:space="preserve">(1) Bund und Länder sind in ihrer Haushaltswirtschaft selbständig und voneinander unabhängig.</w:t>
      </w:r>
    </w:p>
    <w:p>
      <w:r>
        <w:t xml:space="preserve">(2) Bund und Länder erfüllen gemeinsam die Verpflichtungen der Bundesrepublik Deutschland aus Rechtsakten der Europäischen Gemeinschaft auf Grund des Artikels 104 des Vertrags zur Gründung der Europäischen Gemeinschaft zur Einhaltung der Haushaltsdisziplin und tragen in diesem Rahmen den Erfordernissen des gesamtwirtschaftlichen Gleichgewichts Rechnung.</w:t>
      </w:r>
    </w:p>
    <w:p>
      <w:r>
        <w:t xml:space="preserve">(3) Die Haushalte von Bund und Ländern sind grundsätzlich ohne Einnahmen aus Krediten auszugleichen. Bund und Länder können Regelungen zur im Auf- und Abschwung symmetrischen Berücksichtigung der Auswirkungen einer von der Normallage abweichenden konjunkturellen Entwicklung sowie eine Ausnahmeregelung für Naturkatastrophen oder außergewöhnliche Notsituationen, die sich der Kontrolle des Staates entziehen und die staatliche Finanzlage erheblich beeinträchtigen, vorsehen. Für die Ausnahmeregelung ist eine entsprechende Tilgungsregelung vorzusehen. Die nähere Ausgestaltung regelt für den Haushalt des Bundes Artikel 115 mit der Maßgabe, dass Satz 1 entsprochen ist, wenn die Einnahmen aus Krediten 0,35 vom Hundert im Verhältnis zum nominalen Bruttoinlandsprodukt nicht überschreiten. Von den zu berücksichtigenden Einnahmen aus Krediten ist der Betrag abzuziehen, um den die Verteidigungsausgaben, die Ausgaben des Bundes für den Zivil- und Bevölkerungsschutz sowie für die Nachrichtendienste, für den Schutz der informationstechnischen Systeme und für die Hilfe für völkerrechtswidrig angegriffene Staaten 1 vom Hundert im Verhältnis zum nominalen Bruttoinlandsprodukt übersteigen. Die Gesamtheit der Länder entspricht Satz 1, wenn die durch sie erzielten Einnahmen aus Krediten 0,35 vom Hundert im Verhältnis zum nominalen Bruttoinlandsprodukt nicht überschreiten. Die Aufteilung der für die Gesamtheit der Länder zulässigen Kreditaufnahme nach Satz 6 auf die einzelnen Länder regelt ein Bundesgesetz mit Zustimmung des Bundesrates. Die nähere Ausgestaltung für die Haushalte der Länder regeln diese im Rahmen ihrer verfassungsrechtlichen Kompetenzen. Bestehende landesrechtliche Regelungen, die hinter der gemäß Satz 7 festgelegten Kreditobergrenze zurückbleiben, treten außer Kraft.</w:t>
      </w:r>
    </w:p>
    <w:p>
      <w:r>
        <w:t xml:space="preserve">(4) Durch Bundesgesetz, das der Zustimmung des Bundesrates bedarf, können für Bund und Länder gemeinsam geltende Grundsätze für das Haushaltsrecht, für eine konjunkturgerechte Haushaltswirtschaft und für eine mehrjährige Finanzplanung aufgestellt werden.</w:t>
      </w:r>
    </w:p>
    <w:p>
      <w:r>
        <w:t xml:space="preserve">(5) Sanktionsmaßnahmen der Europäischen Gemeinschaft im Zusammenhang mit den Bestimmungen in Artikel 104 des Vertrags zur Gründung der Europäischen Gemeinschaft zur Einhaltung der Haushaltsdisziplin tragen Bund und Länder im Verhältnis 65 zu 35. Die Ländergesamtheit trägt solidarisch 35 vom Hundert der auf die Länder entfallenden Lasten entsprechend ihrer Einwohnerzahl; 65 vom Hundert der auf die Länder entfallenden Lasten tragen die Länder entsprechend ihrem Verursachungsbeitrag. Das Nähere regelt ein Bundesgesetz, das der Zustimmung des Bundesrates bedarf.</w:t>
      </w:r>
    </w:p>
    <w:p>
      <w:r>
        <w:rPr>
          <w:color w:val="555555"/>
          <w:sz w:val="17"/>
        </w:rPr>
        <w:t xml:space="preserve">Zitiervorschlag: Art 109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