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Aufkommen der Landessteuern und der Länderanteil am Aufkommen der Einkommensteuer und der Körperschaftsteuer stehen den einzelnen Ländern insoweit zu, als die Steuern von den Finanzbehörden in ihrem Gebiet vereinnahmt werden (örtliches Aufkommen). Durch Bundesgesetz, das der Zustimmung des Bundesrates bedarf, sind für die Körperschaftsteuer und die Lohnsteuer nähere Bestimmungen über die Abgrenzung sowie über Art und Umfang der Zerlegung des örtlichen Aufkommens zu treffen. Das Gesetz kann auch Bestimmungen über die Abgrenzung und Zerlegung des örtlichen Aufkommens anderer Steuern treffen. Der Länderanteil am Aufkommen der Umsatzsteuer steht den einzelnen Ländern, vorbehaltlich der Regelungen nach Absatz 2, nach Maßgabe ihrer Einwohnerzahl zu.</w:t>
      </w:r>
    </w:p>
    <w:p>
      <w:r>
        <w:t xml:space="preserve">(2) Durch Bundesgesetz, das der Zustimmung des Bundesrates bedarf, ist sicherzustellen, dass die unterschiedliche Finanzkraft der Länder angemessen ausgeglichen wird; hierbei sind die Finanzkraft und der Finanzbedarf der Gemeinden (Gemeindeverbände) zu berücksichtigen. Zu diesem Zweck sind in dem Gesetz Zuschläge zu und Abschläge von der jeweiligen Finanzkraft bei der Verteilung der Länderanteile am Aufkommen der Umsatzsteuer zu regeln. Die Voraussetzungen für die Gewährung von Zuschlägen und für die Erhebung von Abschlägen sowie die Maßstäbe für die Höhe dieser Zuschläge und Abschläge sind in dem Gesetz zu bestimmen. Für Zwecke der Bemessung der Finanzkraft kann die bergrechtliche Förderabgabe mit nur einem Teil ihres Aufkommens berücksichtigt werden. Das Gesetz kann auch bestimmen, dass der Bund aus seinen Mitteln leistungsschwachen Ländern Zuweisungen zur ergänzenden Deckung ihres allgemeinen Finanzbedarfs (Ergänzungszuweisungen) gewährt. Zuweisungen können unabhängig von den Maßstäben nach den Sätzen 1 bis 3 auch solchen leistungsschwachen Ländern gewährt werden, deren Gemeinden (Gemeindeverbände) eine besonders geringe Steuerkraft aufweisen (Gemeindesteuerkraftzuweisungen), sowie außerdem solchen leistungsschwachen Ländern, deren Anteile an den Fördermitteln nach Artikel 91b ihre Einwohneranteile unterschreiten.</w:t>
      </w:r>
    </w:p>
    <w:p>
      <w:r>
        <w:rPr>
          <w:color w:val="555555"/>
          <w:sz w:val="17"/>
        </w:rPr>
        <w:t xml:space="preserve">Zitiervorschlag: Art 107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